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513FB9" w:rsidRPr="007D7E0B" w:rsidTr="00A62FD7">
        <w:trPr>
          <w:gridAfter w:val="1"/>
          <w:wAfter w:w="36" w:type="dxa"/>
        </w:trPr>
        <w:tc>
          <w:tcPr>
            <w:tcW w:w="8928" w:type="dxa"/>
            <w:gridSpan w:val="2"/>
            <w:tcBorders>
              <w:bottom w:val="single" w:sz="18" w:space="0" w:color="auto"/>
            </w:tcBorders>
          </w:tcPr>
          <w:p w:rsidR="00513FB9" w:rsidRDefault="00A62FD7" w:rsidP="006D2C51">
            <w:pPr>
              <w:pStyle w:val="Infotext"/>
              <w:rPr>
                <w:rFonts w:ascii="Arial Black" w:hAnsi="Arial Black"/>
                <w:color w:val="999999"/>
                <w:sz w:val="36"/>
                <w:szCs w:val="36"/>
              </w:rPr>
            </w:pPr>
            <w:r>
              <w:t xml:space="preserve"> </w:t>
            </w:r>
          </w:p>
          <w:p w:rsidR="00513FB9" w:rsidRDefault="006671D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050F5710" wp14:editId="388BC2AD">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A62FD7">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A62FD7">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52030D" w:rsidP="00C43816">
            <w:pPr>
              <w:pStyle w:val="Infotext"/>
              <w:rPr>
                <w:rFonts w:cs="Arial"/>
              </w:rPr>
            </w:pPr>
            <w:r>
              <w:rPr>
                <w:rFonts w:cs="Arial"/>
              </w:rPr>
              <w:t>19 September 2019</w:t>
            </w:r>
          </w:p>
        </w:tc>
      </w:tr>
      <w:tr w:rsidR="002A2389" w:rsidTr="00A62FD7">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52030D">
            <w:pPr>
              <w:pStyle w:val="Infotext"/>
              <w:rPr>
                <w:rFonts w:cs="Arial"/>
              </w:rPr>
            </w:pPr>
            <w:r>
              <w:rPr>
                <w:rFonts w:cs="Arial"/>
              </w:rPr>
              <w:t>Better Care Fund 2019-20</w:t>
            </w:r>
          </w:p>
        </w:tc>
      </w:tr>
      <w:tr w:rsidR="002A2389" w:rsidTr="00A62FD7">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52030D" w:rsidRDefault="0052030D" w:rsidP="0052030D">
            <w:pPr>
              <w:rPr>
                <w:rFonts w:cs="Arial"/>
                <w:sz w:val="28"/>
              </w:rPr>
            </w:pPr>
            <w:r>
              <w:rPr>
                <w:rFonts w:cs="Arial"/>
                <w:sz w:val="28"/>
              </w:rPr>
              <w:t>Angela Morris, Director Adult Social Services</w:t>
            </w:r>
          </w:p>
          <w:p w:rsidR="0052030D" w:rsidRDefault="0052030D" w:rsidP="0052030D">
            <w:pPr>
              <w:rPr>
                <w:rFonts w:cs="Arial"/>
                <w:sz w:val="28"/>
              </w:rPr>
            </w:pPr>
            <w:r>
              <w:rPr>
                <w:rFonts w:cs="Arial"/>
                <w:sz w:val="28"/>
              </w:rPr>
              <w:t xml:space="preserve">Javina </w:t>
            </w:r>
            <w:proofErr w:type="spellStart"/>
            <w:r>
              <w:rPr>
                <w:rFonts w:cs="Arial"/>
                <w:sz w:val="28"/>
              </w:rPr>
              <w:t>Seghal</w:t>
            </w:r>
            <w:proofErr w:type="spellEnd"/>
            <w:r>
              <w:rPr>
                <w:rFonts w:cs="Arial"/>
                <w:sz w:val="28"/>
              </w:rPr>
              <w:t>, Managing Director, Harrow CCG</w:t>
            </w:r>
          </w:p>
          <w:p w:rsidR="007D56C8" w:rsidRDefault="007D56C8">
            <w:pPr>
              <w:pStyle w:val="Infotext"/>
              <w:rPr>
                <w:rFonts w:cs="Arial"/>
              </w:rPr>
            </w:pPr>
          </w:p>
        </w:tc>
      </w:tr>
      <w:tr w:rsidR="002A2389" w:rsidTr="00A62FD7">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52030D" w:rsidRDefault="002A2389" w:rsidP="0052030D">
            <w:pPr>
              <w:pStyle w:val="Infotext"/>
              <w:rPr>
                <w:rFonts w:cs="Arial"/>
              </w:rPr>
            </w:pPr>
            <w:r>
              <w:rPr>
                <w:rFonts w:cs="Arial"/>
              </w:rPr>
              <w:t xml:space="preserve">Yes </w:t>
            </w:r>
          </w:p>
          <w:p w:rsidR="002A2389" w:rsidRDefault="002A2389">
            <w:pPr>
              <w:pStyle w:val="Infotext"/>
              <w:rPr>
                <w:rFonts w:cs="Arial"/>
              </w:rPr>
            </w:pPr>
          </w:p>
        </w:tc>
      </w:tr>
      <w:tr w:rsidR="00A51FAE" w:rsidTr="00A62FD7">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52030D">
            <w:pPr>
              <w:pStyle w:val="Infotext"/>
              <w:rPr>
                <w:b/>
                <w:color w:val="FF0000"/>
              </w:rPr>
            </w:pPr>
            <w:r>
              <w:t>All wards</w:t>
            </w:r>
          </w:p>
        </w:tc>
      </w:tr>
      <w:tr w:rsidR="002A2389" w:rsidTr="00A62FD7">
        <w:tc>
          <w:tcPr>
            <w:tcW w:w="3456" w:type="dxa"/>
          </w:tcPr>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52030D">
            <w:pPr>
              <w:pStyle w:val="Infotext"/>
            </w:pPr>
            <w:r>
              <w:t>None</w:t>
            </w:r>
          </w:p>
        </w:tc>
      </w:tr>
    </w:tbl>
    <w:p w:rsidR="00A62FD7" w:rsidRDefault="00A62FD7"/>
    <w:p w:rsidR="00A62FD7" w:rsidRDefault="00A62FD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877038" w:rsidRPr="00877038" w:rsidTr="00A62FD7">
        <w:tc>
          <w:tcPr>
            <w:tcW w:w="8897" w:type="dxa"/>
            <w:tcBorders>
              <w:top w:val="nil"/>
              <w:left w:val="nil"/>
              <w:right w:val="nil"/>
            </w:tcBorders>
          </w:tcPr>
          <w:p w:rsidR="00877038" w:rsidRPr="00877038" w:rsidRDefault="00877038" w:rsidP="00877038">
            <w:pPr>
              <w:outlineLvl w:val="0"/>
              <w:rPr>
                <w:rFonts w:ascii="Arial Black" w:hAnsi="Arial Black" w:cs="Arial"/>
                <w:bCs/>
                <w:sz w:val="32"/>
                <w:szCs w:val="32"/>
              </w:rPr>
            </w:pPr>
            <w:r w:rsidRPr="00877038">
              <w:rPr>
                <w:rFonts w:ascii="Arial Black" w:hAnsi="Arial Black" w:cs="Arial"/>
                <w:bCs/>
                <w:sz w:val="32"/>
                <w:szCs w:val="32"/>
              </w:rPr>
              <w:t>Section 1 – Summary and Recommendations</w:t>
            </w:r>
          </w:p>
          <w:p w:rsidR="00877038" w:rsidRPr="00877038" w:rsidRDefault="00877038" w:rsidP="00877038"/>
        </w:tc>
      </w:tr>
      <w:tr w:rsidR="00877038" w:rsidRPr="00877038" w:rsidTr="00A62FD7">
        <w:tc>
          <w:tcPr>
            <w:tcW w:w="8897" w:type="dxa"/>
          </w:tcPr>
          <w:p w:rsidR="00877038" w:rsidRPr="00877038" w:rsidRDefault="00877038" w:rsidP="00877038">
            <w:r w:rsidRPr="00877038">
              <w:t xml:space="preserve">This report sets out the agreed high level </w:t>
            </w:r>
            <w:proofErr w:type="gramStart"/>
            <w:r w:rsidRPr="00877038">
              <w:t>2019-20 Better Care Fund Plan</w:t>
            </w:r>
            <w:proofErr w:type="gramEnd"/>
            <w:r w:rsidRPr="00877038">
              <w:t>.</w:t>
            </w:r>
          </w:p>
          <w:p w:rsidR="00877038" w:rsidRPr="00877038" w:rsidRDefault="00877038" w:rsidP="00877038">
            <w:pPr>
              <w:outlineLvl w:val="1"/>
              <w:rPr>
                <w:rFonts w:cs="Arial"/>
                <w:b/>
                <w:bCs/>
                <w:sz w:val="28"/>
                <w:szCs w:val="32"/>
              </w:rPr>
            </w:pPr>
          </w:p>
          <w:p w:rsidR="00877038" w:rsidRPr="00877038" w:rsidRDefault="00877038" w:rsidP="00877038">
            <w:pPr>
              <w:outlineLvl w:val="1"/>
              <w:rPr>
                <w:rFonts w:cs="Arial"/>
                <w:b/>
                <w:bCs/>
                <w:sz w:val="28"/>
                <w:szCs w:val="32"/>
              </w:rPr>
            </w:pPr>
            <w:r w:rsidRPr="00877038">
              <w:rPr>
                <w:rFonts w:cs="Arial"/>
                <w:b/>
                <w:bCs/>
                <w:sz w:val="28"/>
                <w:szCs w:val="32"/>
              </w:rPr>
              <w:t xml:space="preserve">For Decision: </w:t>
            </w:r>
          </w:p>
          <w:p w:rsidR="00877038" w:rsidRPr="00877038" w:rsidRDefault="00877038" w:rsidP="00877038">
            <w:r w:rsidRPr="00877038">
              <w:t>The Board is requested to:</w:t>
            </w:r>
          </w:p>
          <w:p w:rsidR="00877038" w:rsidRPr="00877038" w:rsidRDefault="00877038" w:rsidP="00877038"/>
          <w:p w:rsidR="00877038" w:rsidRPr="00877038" w:rsidRDefault="00877038" w:rsidP="00877038">
            <w:pPr>
              <w:numPr>
                <w:ilvl w:val="0"/>
                <w:numId w:val="14"/>
              </w:numPr>
            </w:pPr>
            <w:r w:rsidRPr="00877038">
              <w:t xml:space="preserve">Agree the overarching schemes </w:t>
            </w:r>
            <w:proofErr w:type="gramStart"/>
            <w:r w:rsidRPr="00877038">
              <w:t>for the 2019-20 Better Care Fund Plan to be submitted to NHS England on 27</w:t>
            </w:r>
            <w:r w:rsidRPr="00877038">
              <w:rPr>
                <w:vertAlign w:val="superscript"/>
              </w:rPr>
              <w:t>th</w:t>
            </w:r>
            <w:r w:rsidRPr="00877038">
              <w:t xml:space="preserve"> September 2019 in accordance with the mandated national deadline</w:t>
            </w:r>
            <w:proofErr w:type="gramEnd"/>
            <w:r w:rsidRPr="00877038">
              <w:t>.</w:t>
            </w:r>
          </w:p>
          <w:p w:rsidR="00877038" w:rsidRPr="00A62FD7" w:rsidRDefault="00877038" w:rsidP="009472E4">
            <w:pPr>
              <w:numPr>
                <w:ilvl w:val="0"/>
                <w:numId w:val="14"/>
              </w:numPr>
              <w:rPr>
                <w:rFonts w:cs="Arial"/>
              </w:rPr>
            </w:pPr>
            <w:r w:rsidRPr="00877038">
              <w:t>Note that the detailed schemes and Quarter 2 BCF update will be reported to the HWBB at its meeting on 2</w:t>
            </w:r>
            <w:r w:rsidR="009472E4">
              <w:t>6</w:t>
            </w:r>
            <w:r w:rsidR="009472E4" w:rsidRPr="009472E4">
              <w:rPr>
                <w:vertAlign w:val="superscript"/>
              </w:rPr>
              <w:t>th</w:t>
            </w:r>
            <w:r w:rsidR="009472E4">
              <w:t xml:space="preserve"> </w:t>
            </w:r>
            <w:r w:rsidRPr="00877038">
              <w:t xml:space="preserve">November 2019. </w:t>
            </w:r>
          </w:p>
          <w:p w:rsidR="00A62FD7" w:rsidRPr="00877038" w:rsidRDefault="00A62FD7" w:rsidP="00A62FD7">
            <w:pPr>
              <w:rPr>
                <w:rFonts w:cs="Arial"/>
              </w:rPr>
            </w:pPr>
          </w:p>
        </w:tc>
      </w:tr>
    </w:tbl>
    <w:p w:rsidR="00877038" w:rsidRPr="00877038" w:rsidRDefault="00877038" w:rsidP="00877038">
      <w:pPr>
        <w:jc w:val="center"/>
        <w:outlineLvl w:val="0"/>
        <w:rPr>
          <w:rFonts w:ascii="Arial Black" w:hAnsi="Arial Black" w:cs="Arial"/>
          <w:bCs/>
          <w:color w:val="0000FF"/>
          <w:sz w:val="28"/>
          <w:szCs w:val="32"/>
        </w:rPr>
      </w:pPr>
    </w:p>
    <w:p w:rsidR="00A62FD7" w:rsidRDefault="00A62FD7">
      <w:pPr>
        <w:rPr>
          <w:rFonts w:ascii="Arial Black" w:hAnsi="Arial Black" w:cs="Arial"/>
          <w:bCs/>
          <w:sz w:val="32"/>
          <w:szCs w:val="32"/>
        </w:rPr>
      </w:pPr>
      <w:r>
        <w:rPr>
          <w:rFonts w:ascii="Arial Black" w:hAnsi="Arial Black" w:cs="Arial"/>
          <w:bCs/>
          <w:sz w:val="32"/>
          <w:szCs w:val="32"/>
        </w:rPr>
        <w:br w:type="page"/>
      </w:r>
    </w:p>
    <w:p w:rsidR="00877038" w:rsidRPr="00877038" w:rsidRDefault="00877038" w:rsidP="00877038">
      <w:pPr>
        <w:jc w:val="both"/>
        <w:outlineLvl w:val="0"/>
        <w:rPr>
          <w:rFonts w:ascii="Arial Black" w:hAnsi="Arial Black" w:cs="Arial"/>
          <w:bCs/>
          <w:sz w:val="32"/>
          <w:szCs w:val="32"/>
        </w:rPr>
      </w:pPr>
      <w:r w:rsidRPr="00877038">
        <w:rPr>
          <w:rFonts w:ascii="Arial Black" w:hAnsi="Arial Black" w:cs="Arial"/>
          <w:bCs/>
          <w:sz w:val="32"/>
          <w:szCs w:val="32"/>
        </w:rPr>
        <w:lastRenderedPageBreak/>
        <w:t>Section 2 – Report</w:t>
      </w:r>
    </w:p>
    <w:p w:rsidR="00877038" w:rsidRPr="00877038" w:rsidRDefault="00877038" w:rsidP="00877038">
      <w:pPr>
        <w:outlineLvl w:val="1"/>
        <w:rPr>
          <w:rFonts w:cs="Arial"/>
          <w:b/>
          <w:bCs/>
          <w:color w:val="0000FF"/>
          <w:sz w:val="28"/>
          <w:szCs w:val="32"/>
        </w:rPr>
      </w:pPr>
    </w:p>
    <w:p w:rsidR="00877038" w:rsidRPr="00877038" w:rsidRDefault="00877038" w:rsidP="00877038">
      <w:pPr>
        <w:outlineLvl w:val="1"/>
        <w:rPr>
          <w:rFonts w:cs="Arial"/>
          <w:b/>
          <w:bCs/>
          <w:sz w:val="28"/>
          <w:szCs w:val="32"/>
        </w:rPr>
      </w:pPr>
      <w:r w:rsidRPr="00877038">
        <w:rPr>
          <w:rFonts w:cs="Arial"/>
          <w:b/>
          <w:bCs/>
          <w:sz w:val="28"/>
          <w:szCs w:val="32"/>
        </w:rPr>
        <w:t xml:space="preserve">Background </w:t>
      </w:r>
    </w:p>
    <w:p w:rsidR="00877038" w:rsidRPr="00877038" w:rsidRDefault="00877038" w:rsidP="00877038">
      <w:pPr>
        <w:autoSpaceDE w:val="0"/>
        <w:autoSpaceDN w:val="0"/>
        <w:adjustRightInd w:val="0"/>
        <w:rPr>
          <w:rFonts w:cs="Arial"/>
          <w:color w:val="000000"/>
          <w:szCs w:val="24"/>
          <w:lang w:eastAsia="en-GB"/>
        </w:rPr>
      </w:pPr>
    </w:p>
    <w:p w:rsidR="00877038" w:rsidRPr="00877038" w:rsidRDefault="00877038" w:rsidP="00115C45">
      <w:pPr>
        <w:jc w:val="both"/>
        <w:rPr>
          <w:rFonts w:cs="Arial"/>
          <w:szCs w:val="24"/>
          <w:lang w:val="en-US"/>
        </w:rPr>
      </w:pPr>
      <w:r w:rsidRPr="00877038">
        <w:rPr>
          <w:bCs/>
          <w:szCs w:val="24"/>
        </w:rPr>
        <w:t>Department of Health and Social Care, Ministry of Housing, Communities and Local Government, and NHS England</w:t>
      </w:r>
      <w:r w:rsidRPr="00877038">
        <w:rPr>
          <w:b/>
          <w:bCs/>
          <w:sz w:val="36"/>
          <w:szCs w:val="36"/>
        </w:rPr>
        <w:t xml:space="preserve"> </w:t>
      </w:r>
      <w:r w:rsidRPr="00877038">
        <w:rPr>
          <w:rFonts w:cs="Arial"/>
          <w:szCs w:val="24"/>
          <w:lang w:val="en-US"/>
        </w:rPr>
        <w:t>published the BCF planning requirements for 2019-20 in July 2019.</w:t>
      </w:r>
    </w:p>
    <w:p w:rsidR="00877038" w:rsidRPr="00877038" w:rsidRDefault="00877038" w:rsidP="00115C45">
      <w:pPr>
        <w:jc w:val="both"/>
        <w:rPr>
          <w:rFonts w:cs="Arial"/>
          <w:szCs w:val="24"/>
          <w:lang w:val="en-US"/>
        </w:rPr>
      </w:pPr>
    </w:p>
    <w:p w:rsidR="00877038" w:rsidRPr="00877038" w:rsidRDefault="00877038" w:rsidP="00115C45">
      <w:pPr>
        <w:autoSpaceDE w:val="0"/>
        <w:autoSpaceDN w:val="0"/>
        <w:adjustRightInd w:val="0"/>
        <w:jc w:val="both"/>
        <w:rPr>
          <w:rFonts w:cs="Arial"/>
          <w:color w:val="000000"/>
          <w:sz w:val="23"/>
          <w:szCs w:val="23"/>
          <w:lang w:eastAsia="en-GB"/>
        </w:rPr>
      </w:pPr>
      <w:r w:rsidRPr="00877038">
        <w:rPr>
          <w:rFonts w:cs="Arial"/>
          <w:color w:val="000000"/>
          <w:szCs w:val="24"/>
          <w:lang w:val="en-US" w:eastAsia="en-GB"/>
        </w:rPr>
        <w:t>The document set out the detailed requirements for plans (including the CCG minimum BCF allocations)</w:t>
      </w:r>
      <w:proofErr w:type="gramStart"/>
      <w:r w:rsidRPr="00877038">
        <w:rPr>
          <w:rFonts w:cs="Arial"/>
          <w:color w:val="000000"/>
          <w:szCs w:val="24"/>
          <w:lang w:val="en-US" w:eastAsia="en-GB"/>
        </w:rPr>
        <w:t>,</w:t>
      </w:r>
      <w:proofErr w:type="gramEnd"/>
      <w:r w:rsidRPr="00877038">
        <w:rPr>
          <w:rFonts w:cs="Arial"/>
          <w:color w:val="000000"/>
          <w:szCs w:val="24"/>
          <w:lang w:val="en-US" w:eastAsia="en-GB"/>
        </w:rPr>
        <w:t xml:space="preserve"> based on the 2019-20 BCF policy framework published by the DH and DCLG in April 2019 which supports the core </w:t>
      </w:r>
      <w:r w:rsidRPr="00877038">
        <w:rPr>
          <w:rFonts w:cs="Arial"/>
          <w:color w:val="000000"/>
          <w:szCs w:val="24"/>
          <w:lang w:eastAsia="en-GB"/>
        </w:rPr>
        <w:t>NHS Operational Planning and Contracting Guidance for 2019-20 which was published in January 2019.</w:t>
      </w:r>
      <w:r w:rsidRPr="00877038">
        <w:rPr>
          <w:rFonts w:cs="Arial"/>
          <w:color w:val="000000"/>
          <w:sz w:val="23"/>
          <w:szCs w:val="23"/>
          <w:lang w:eastAsia="en-GB"/>
        </w:rPr>
        <w:t xml:space="preserve"> </w:t>
      </w:r>
    </w:p>
    <w:p w:rsidR="00877038" w:rsidRPr="00877038" w:rsidRDefault="00877038" w:rsidP="00115C45">
      <w:pPr>
        <w:autoSpaceDE w:val="0"/>
        <w:autoSpaceDN w:val="0"/>
        <w:adjustRightInd w:val="0"/>
        <w:jc w:val="both"/>
        <w:rPr>
          <w:rFonts w:cs="Arial"/>
          <w:color w:val="000000"/>
          <w:szCs w:val="24"/>
          <w:lang w:eastAsia="en-GB"/>
        </w:rPr>
      </w:pPr>
    </w:p>
    <w:p w:rsidR="00877038" w:rsidRPr="00877038" w:rsidRDefault="00877038" w:rsidP="00115C45">
      <w:pPr>
        <w:autoSpaceDE w:val="0"/>
        <w:autoSpaceDN w:val="0"/>
        <w:adjustRightInd w:val="0"/>
        <w:jc w:val="both"/>
        <w:rPr>
          <w:rFonts w:cs="Arial"/>
          <w:b/>
          <w:color w:val="000000"/>
          <w:sz w:val="28"/>
          <w:szCs w:val="28"/>
          <w:lang w:eastAsia="en-GB"/>
        </w:rPr>
      </w:pPr>
      <w:r w:rsidRPr="00877038">
        <w:rPr>
          <w:rFonts w:cs="Arial"/>
          <w:b/>
          <w:bCs/>
          <w:color w:val="000000"/>
          <w:sz w:val="28"/>
          <w:szCs w:val="28"/>
          <w:lang w:eastAsia="en-GB"/>
        </w:rPr>
        <w:t>BCF Policy and planning requirements in 2019-20</w:t>
      </w:r>
    </w:p>
    <w:p w:rsidR="00877038" w:rsidRPr="00877038" w:rsidRDefault="00877038" w:rsidP="00115C45">
      <w:pPr>
        <w:autoSpaceDE w:val="0"/>
        <w:autoSpaceDN w:val="0"/>
        <w:adjustRightInd w:val="0"/>
        <w:jc w:val="both"/>
        <w:rPr>
          <w:rFonts w:cs="Arial"/>
          <w:color w:val="000000"/>
          <w:szCs w:val="24"/>
          <w:lang w:eastAsia="en-GB"/>
        </w:rPr>
      </w:pPr>
      <w:r w:rsidRPr="00877038">
        <w:rPr>
          <w:rFonts w:cs="Arial"/>
          <w:color w:val="000000"/>
          <w:szCs w:val="24"/>
          <w:lang w:eastAsia="en-GB"/>
        </w:rPr>
        <w:t xml:space="preserve">The Better Care Fund Policy Framework for 2019-20 provides continuity from the previous round of the programme. </w:t>
      </w:r>
    </w:p>
    <w:p w:rsidR="00877038" w:rsidRPr="00877038" w:rsidRDefault="00877038" w:rsidP="00115C45">
      <w:pPr>
        <w:autoSpaceDE w:val="0"/>
        <w:autoSpaceDN w:val="0"/>
        <w:adjustRightInd w:val="0"/>
        <w:jc w:val="both"/>
        <w:rPr>
          <w:rFonts w:cs="Arial"/>
          <w:color w:val="000000"/>
          <w:szCs w:val="24"/>
          <w:lang w:eastAsia="en-GB"/>
        </w:rPr>
      </w:pPr>
    </w:p>
    <w:p w:rsidR="00877038" w:rsidRPr="00877038" w:rsidRDefault="00877038" w:rsidP="00115C45">
      <w:pPr>
        <w:autoSpaceDE w:val="0"/>
        <w:autoSpaceDN w:val="0"/>
        <w:adjustRightInd w:val="0"/>
        <w:jc w:val="both"/>
        <w:rPr>
          <w:rFonts w:cs="Arial"/>
          <w:color w:val="000000"/>
          <w:szCs w:val="24"/>
          <w:lang w:eastAsia="en-GB"/>
        </w:rPr>
      </w:pPr>
      <w:r w:rsidRPr="00877038">
        <w:rPr>
          <w:rFonts w:cs="Arial"/>
          <w:color w:val="000000"/>
          <w:szCs w:val="24"/>
          <w:lang w:eastAsia="en-GB"/>
        </w:rPr>
        <w:t xml:space="preserve">The </w:t>
      </w:r>
      <w:r w:rsidRPr="00877038">
        <w:rPr>
          <w:rFonts w:cs="Arial"/>
          <w:b/>
          <w:bCs/>
          <w:color w:val="000000"/>
          <w:szCs w:val="24"/>
          <w:lang w:eastAsia="en-GB"/>
        </w:rPr>
        <w:t xml:space="preserve">four national conditions </w:t>
      </w:r>
      <w:r w:rsidRPr="00877038">
        <w:rPr>
          <w:rFonts w:cs="Arial"/>
          <w:color w:val="000000"/>
          <w:szCs w:val="24"/>
          <w:lang w:eastAsia="en-GB"/>
        </w:rPr>
        <w:t xml:space="preserve">set by the government in the Policy Framework are: </w:t>
      </w:r>
    </w:p>
    <w:p w:rsidR="00877038" w:rsidRPr="00877038" w:rsidRDefault="00877038" w:rsidP="00115C45">
      <w:pPr>
        <w:autoSpaceDE w:val="0"/>
        <w:autoSpaceDN w:val="0"/>
        <w:adjustRightInd w:val="0"/>
        <w:jc w:val="both"/>
        <w:rPr>
          <w:rFonts w:cs="Arial"/>
          <w:color w:val="000000"/>
          <w:szCs w:val="24"/>
          <w:lang w:eastAsia="en-GB"/>
        </w:rPr>
      </w:pPr>
    </w:p>
    <w:p w:rsidR="00877038" w:rsidRPr="00877038" w:rsidRDefault="00877038" w:rsidP="00115C45">
      <w:pPr>
        <w:autoSpaceDE w:val="0"/>
        <w:autoSpaceDN w:val="0"/>
        <w:adjustRightInd w:val="0"/>
        <w:spacing w:after="38"/>
        <w:jc w:val="both"/>
        <w:rPr>
          <w:rFonts w:cs="Arial"/>
          <w:color w:val="000000"/>
          <w:szCs w:val="24"/>
          <w:lang w:eastAsia="en-GB"/>
        </w:rPr>
      </w:pPr>
      <w:proofErr w:type="spellStart"/>
      <w:r w:rsidRPr="00877038">
        <w:rPr>
          <w:rFonts w:cs="Arial"/>
          <w:color w:val="000000"/>
          <w:szCs w:val="24"/>
          <w:lang w:eastAsia="en-GB"/>
        </w:rPr>
        <w:t>i</w:t>
      </w:r>
      <w:proofErr w:type="spellEnd"/>
      <w:r w:rsidRPr="00877038">
        <w:rPr>
          <w:rFonts w:cs="Arial"/>
          <w:color w:val="000000"/>
          <w:szCs w:val="24"/>
          <w:lang w:eastAsia="en-GB"/>
        </w:rPr>
        <w:t xml:space="preserve">. That a BCF Plan, including at least the minimum mandated funding to the pooled fund specified in the BCF allocations and grant determinations, must be signed off by the Health and Wellbeing Board (HWB), and by the constituent local authorities (LAs) and CCGs. </w:t>
      </w:r>
    </w:p>
    <w:p w:rsidR="00877038" w:rsidRPr="00877038" w:rsidRDefault="00877038" w:rsidP="00115C45">
      <w:pPr>
        <w:autoSpaceDE w:val="0"/>
        <w:autoSpaceDN w:val="0"/>
        <w:adjustRightInd w:val="0"/>
        <w:spacing w:after="38"/>
        <w:jc w:val="both"/>
        <w:rPr>
          <w:rFonts w:cs="Arial"/>
          <w:color w:val="000000"/>
          <w:szCs w:val="24"/>
          <w:lang w:eastAsia="en-GB"/>
        </w:rPr>
      </w:pPr>
      <w:r w:rsidRPr="00877038">
        <w:rPr>
          <w:rFonts w:cs="Arial"/>
          <w:color w:val="000000"/>
          <w:szCs w:val="24"/>
          <w:lang w:eastAsia="en-GB"/>
        </w:rPr>
        <w:t xml:space="preserve">ii. A demonstration of how the area will maintain the level of spending on social care services from the CCG minimum contribution in line with the uplift to the CCG’s minimum contribution. </w:t>
      </w:r>
    </w:p>
    <w:p w:rsidR="00877038" w:rsidRPr="00877038" w:rsidRDefault="00877038" w:rsidP="00115C45">
      <w:pPr>
        <w:autoSpaceDE w:val="0"/>
        <w:autoSpaceDN w:val="0"/>
        <w:adjustRightInd w:val="0"/>
        <w:spacing w:after="38"/>
        <w:jc w:val="both"/>
        <w:rPr>
          <w:rFonts w:cs="Arial"/>
          <w:color w:val="000000"/>
          <w:szCs w:val="24"/>
          <w:lang w:eastAsia="en-GB"/>
        </w:rPr>
      </w:pPr>
      <w:r w:rsidRPr="00877038">
        <w:rPr>
          <w:rFonts w:cs="Arial"/>
          <w:color w:val="000000"/>
          <w:szCs w:val="24"/>
          <w:lang w:eastAsia="en-GB"/>
        </w:rPr>
        <w:t xml:space="preserve">iii. That a specific proportion of the area’s allocation is invested in NHS-commissioned out-of-hospital services, which may include seven day services and adult social care. </w:t>
      </w:r>
    </w:p>
    <w:p w:rsidR="00877038" w:rsidRPr="00877038" w:rsidRDefault="00877038" w:rsidP="00115C45">
      <w:pPr>
        <w:autoSpaceDE w:val="0"/>
        <w:autoSpaceDN w:val="0"/>
        <w:adjustRightInd w:val="0"/>
        <w:jc w:val="both"/>
        <w:rPr>
          <w:rFonts w:cs="Arial"/>
          <w:color w:val="000000"/>
          <w:szCs w:val="24"/>
          <w:lang w:eastAsia="en-GB"/>
        </w:rPr>
      </w:pPr>
      <w:r w:rsidRPr="00877038">
        <w:rPr>
          <w:rFonts w:cs="Arial"/>
          <w:color w:val="000000"/>
          <w:szCs w:val="24"/>
          <w:lang w:eastAsia="en-GB"/>
        </w:rPr>
        <w:t>iv. A clear plan on managing transfers of care, including implementation of the High Impact Change Model for Managing Transfers of Care (HICM). As part of this, all HWBs must adopt the centrally-set expectations for reducing or maintaining rates of delayed transfers of care (</w:t>
      </w:r>
      <w:proofErr w:type="spellStart"/>
      <w:r w:rsidRPr="00877038">
        <w:rPr>
          <w:rFonts w:cs="Arial"/>
          <w:color w:val="000000"/>
          <w:szCs w:val="24"/>
          <w:lang w:eastAsia="en-GB"/>
        </w:rPr>
        <w:t>DToC</w:t>
      </w:r>
      <w:proofErr w:type="spellEnd"/>
      <w:r w:rsidRPr="00877038">
        <w:rPr>
          <w:rFonts w:cs="Arial"/>
          <w:color w:val="000000"/>
          <w:szCs w:val="24"/>
          <w:lang w:eastAsia="en-GB"/>
        </w:rPr>
        <w:t>) during 2019-20 into their BCF plans.</w:t>
      </w:r>
    </w:p>
    <w:p w:rsidR="00877038" w:rsidRPr="00877038" w:rsidRDefault="00877038" w:rsidP="00115C45">
      <w:pPr>
        <w:autoSpaceDE w:val="0"/>
        <w:autoSpaceDN w:val="0"/>
        <w:adjustRightInd w:val="0"/>
        <w:jc w:val="both"/>
        <w:rPr>
          <w:rFonts w:cs="Arial"/>
          <w:color w:val="000000"/>
          <w:szCs w:val="24"/>
          <w:lang w:eastAsia="en-GB"/>
        </w:rPr>
      </w:pPr>
    </w:p>
    <w:p w:rsidR="00877038" w:rsidRPr="00877038" w:rsidRDefault="00877038" w:rsidP="00115C45">
      <w:pPr>
        <w:autoSpaceDE w:val="0"/>
        <w:autoSpaceDN w:val="0"/>
        <w:adjustRightInd w:val="0"/>
        <w:jc w:val="both"/>
        <w:rPr>
          <w:rFonts w:cs="Arial"/>
          <w:color w:val="000000"/>
          <w:szCs w:val="24"/>
          <w:lang w:eastAsia="en-GB"/>
        </w:rPr>
      </w:pPr>
      <w:r w:rsidRPr="00877038">
        <w:rPr>
          <w:rFonts w:cs="Arial"/>
          <w:color w:val="000000"/>
          <w:szCs w:val="24"/>
          <w:lang w:eastAsia="en-GB"/>
        </w:rPr>
        <w:t xml:space="preserve">The Policy Framework also sets out the </w:t>
      </w:r>
      <w:r w:rsidRPr="00877038">
        <w:rPr>
          <w:rFonts w:cs="Arial"/>
          <w:b/>
          <w:bCs/>
          <w:color w:val="000000"/>
          <w:szCs w:val="24"/>
          <w:lang w:eastAsia="en-GB"/>
        </w:rPr>
        <w:t xml:space="preserve">four national metrics </w:t>
      </w:r>
      <w:r w:rsidRPr="00877038">
        <w:rPr>
          <w:rFonts w:cs="Arial"/>
          <w:color w:val="000000"/>
          <w:szCs w:val="24"/>
          <w:lang w:eastAsia="en-GB"/>
        </w:rPr>
        <w:t xml:space="preserve">for the fund: </w:t>
      </w:r>
    </w:p>
    <w:p w:rsidR="00877038" w:rsidRPr="00877038" w:rsidRDefault="00877038" w:rsidP="00115C45">
      <w:pPr>
        <w:autoSpaceDE w:val="0"/>
        <w:autoSpaceDN w:val="0"/>
        <w:adjustRightInd w:val="0"/>
        <w:jc w:val="both"/>
        <w:rPr>
          <w:rFonts w:cs="Arial"/>
          <w:color w:val="000000"/>
          <w:szCs w:val="24"/>
          <w:lang w:eastAsia="en-GB"/>
        </w:rPr>
      </w:pPr>
    </w:p>
    <w:p w:rsidR="00877038" w:rsidRPr="00877038" w:rsidRDefault="00877038" w:rsidP="00115C45">
      <w:pPr>
        <w:autoSpaceDE w:val="0"/>
        <w:autoSpaceDN w:val="0"/>
        <w:adjustRightInd w:val="0"/>
        <w:spacing w:after="38"/>
        <w:jc w:val="both"/>
        <w:rPr>
          <w:rFonts w:cs="Arial"/>
          <w:color w:val="000000"/>
          <w:szCs w:val="24"/>
          <w:lang w:eastAsia="en-GB"/>
        </w:rPr>
      </w:pPr>
      <w:proofErr w:type="spellStart"/>
      <w:r w:rsidRPr="00877038">
        <w:rPr>
          <w:rFonts w:cs="Arial"/>
          <w:color w:val="000000"/>
          <w:szCs w:val="24"/>
          <w:lang w:eastAsia="en-GB"/>
        </w:rPr>
        <w:t>i</w:t>
      </w:r>
      <w:proofErr w:type="spellEnd"/>
      <w:r w:rsidRPr="00877038">
        <w:rPr>
          <w:rFonts w:cs="Arial"/>
          <w:color w:val="000000"/>
          <w:szCs w:val="24"/>
          <w:lang w:eastAsia="en-GB"/>
        </w:rPr>
        <w:t xml:space="preserve">. Non-elective admissions (Specific acute); </w:t>
      </w:r>
    </w:p>
    <w:p w:rsidR="00877038" w:rsidRPr="00877038" w:rsidRDefault="00877038" w:rsidP="00115C45">
      <w:pPr>
        <w:autoSpaceDE w:val="0"/>
        <w:autoSpaceDN w:val="0"/>
        <w:adjustRightInd w:val="0"/>
        <w:spacing w:after="38"/>
        <w:jc w:val="both"/>
        <w:rPr>
          <w:rFonts w:cs="Arial"/>
          <w:color w:val="000000"/>
          <w:szCs w:val="24"/>
          <w:lang w:eastAsia="en-GB"/>
        </w:rPr>
      </w:pPr>
      <w:r w:rsidRPr="00877038">
        <w:rPr>
          <w:rFonts w:cs="Arial"/>
          <w:color w:val="000000"/>
          <w:szCs w:val="24"/>
          <w:lang w:eastAsia="en-GB"/>
        </w:rPr>
        <w:t xml:space="preserve">ii. Admissions to residential and care homes; </w:t>
      </w:r>
    </w:p>
    <w:p w:rsidR="00877038" w:rsidRPr="00877038" w:rsidRDefault="00877038" w:rsidP="00115C45">
      <w:pPr>
        <w:autoSpaceDE w:val="0"/>
        <w:autoSpaceDN w:val="0"/>
        <w:adjustRightInd w:val="0"/>
        <w:spacing w:after="38"/>
        <w:jc w:val="both"/>
        <w:rPr>
          <w:rFonts w:cs="Arial"/>
          <w:color w:val="000000"/>
          <w:szCs w:val="24"/>
          <w:lang w:eastAsia="en-GB"/>
        </w:rPr>
      </w:pPr>
      <w:r w:rsidRPr="00877038">
        <w:rPr>
          <w:rFonts w:cs="Arial"/>
          <w:color w:val="000000"/>
          <w:szCs w:val="24"/>
          <w:lang w:eastAsia="en-GB"/>
        </w:rPr>
        <w:t xml:space="preserve">iii. Effectiveness of </w:t>
      </w:r>
      <w:proofErr w:type="spellStart"/>
      <w:r w:rsidRPr="00877038">
        <w:rPr>
          <w:rFonts w:cs="Arial"/>
          <w:color w:val="000000"/>
          <w:szCs w:val="24"/>
          <w:lang w:eastAsia="en-GB"/>
        </w:rPr>
        <w:t>reablement</w:t>
      </w:r>
      <w:proofErr w:type="spellEnd"/>
      <w:r w:rsidRPr="00877038">
        <w:rPr>
          <w:rFonts w:cs="Arial"/>
          <w:color w:val="000000"/>
          <w:szCs w:val="24"/>
          <w:lang w:eastAsia="en-GB"/>
        </w:rPr>
        <w:t xml:space="preserve">; and </w:t>
      </w:r>
    </w:p>
    <w:p w:rsidR="00877038" w:rsidRPr="00877038" w:rsidRDefault="00877038" w:rsidP="00115C45">
      <w:pPr>
        <w:autoSpaceDE w:val="0"/>
        <w:autoSpaceDN w:val="0"/>
        <w:adjustRightInd w:val="0"/>
        <w:jc w:val="both"/>
        <w:rPr>
          <w:rFonts w:cs="Arial"/>
          <w:szCs w:val="24"/>
          <w:lang w:val="en-US"/>
        </w:rPr>
      </w:pPr>
      <w:r w:rsidRPr="00877038">
        <w:rPr>
          <w:rFonts w:cs="Arial"/>
          <w:color w:val="000000"/>
          <w:szCs w:val="24"/>
          <w:lang w:eastAsia="en-GB"/>
        </w:rPr>
        <w:t>iv. Delayed transfers of care (</w:t>
      </w:r>
      <w:proofErr w:type="spellStart"/>
      <w:r w:rsidRPr="00877038">
        <w:rPr>
          <w:rFonts w:cs="Arial"/>
          <w:color w:val="000000"/>
          <w:szCs w:val="24"/>
          <w:lang w:eastAsia="en-GB"/>
        </w:rPr>
        <w:t>DToC</w:t>
      </w:r>
      <w:proofErr w:type="spellEnd"/>
      <w:r w:rsidRPr="00877038">
        <w:rPr>
          <w:rFonts w:cs="Arial"/>
          <w:color w:val="000000"/>
          <w:szCs w:val="24"/>
          <w:lang w:eastAsia="en-GB"/>
        </w:rPr>
        <w:t xml:space="preserve">). </w:t>
      </w:r>
      <w:r w:rsidRPr="00877038">
        <w:rPr>
          <w:rFonts w:cs="Arial"/>
          <w:szCs w:val="24"/>
          <w:lang w:val="en-US"/>
        </w:rPr>
        <w:t xml:space="preserve"> </w:t>
      </w:r>
    </w:p>
    <w:p w:rsidR="00877038" w:rsidRPr="00877038" w:rsidRDefault="00877038" w:rsidP="00115C45">
      <w:pPr>
        <w:jc w:val="both"/>
        <w:rPr>
          <w:rFonts w:cs="Arial"/>
          <w:szCs w:val="24"/>
          <w:lang w:val="en-US"/>
        </w:rPr>
      </w:pPr>
    </w:p>
    <w:p w:rsidR="00877038" w:rsidRPr="00877038" w:rsidRDefault="00877038" w:rsidP="00115C45">
      <w:pPr>
        <w:jc w:val="both"/>
        <w:rPr>
          <w:rFonts w:cs="Arial"/>
          <w:szCs w:val="24"/>
          <w:lang w:val="en-US"/>
        </w:rPr>
      </w:pPr>
      <w:r w:rsidRPr="00877038">
        <w:rPr>
          <w:rFonts w:cs="Arial"/>
          <w:szCs w:val="24"/>
          <w:lang w:val="en-US"/>
        </w:rPr>
        <w:t>The deadline for submitting BCF plans is 27</w:t>
      </w:r>
      <w:r w:rsidRPr="00877038">
        <w:rPr>
          <w:rFonts w:cs="Arial"/>
          <w:szCs w:val="24"/>
          <w:vertAlign w:val="superscript"/>
          <w:lang w:val="en-US"/>
        </w:rPr>
        <w:t>th</w:t>
      </w:r>
      <w:r w:rsidRPr="00877038">
        <w:rPr>
          <w:rFonts w:cs="Arial"/>
          <w:szCs w:val="24"/>
          <w:lang w:val="en-US"/>
        </w:rPr>
        <w:t xml:space="preserve"> September. </w:t>
      </w:r>
      <w:bookmarkStart w:id="0" w:name="_BCF_planning_template"/>
      <w:bookmarkEnd w:id="0"/>
    </w:p>
    <w:p w:rsidR="00877038" w:rsidRPr="00877038" w:rsidRDefault="00877038" w:rsidP="00115C45">
      <w:pPr>
        <w:jc w:val="both"/>
        <w:rPr>
          <w:rFonts w:cs="Arial"/>
          <w:szCs w:val="24"/>
          <w:lang w:val="en-US"/>
        </w:rPr>
      </w:pPr>
    </w:p>
    <w:p w:rsidR="00877038" w:rsidRPr="00877038" w:rsidRDefault="00877038" w:rsidP="00115C45">
      <w:pPr>
        <w:jc w:val="both"/>
        <w:rPr>
          <w:rFonts w:cs="Arial"/>
          <w:b/>
          <w:sz w:val="28"/>
          <w:szCs w:val="28"/>
          <w:lang w:val="en-US"/>
        </w:rPr>
      </w:pPr>
      <w:r w:rsidRPr="00877038">
        <w:rPr>
          <w:rFonts w:cs="Arial"/>
          <w:b/>
          <w:sz w:val="28"/>
          <w:szCs w:val="28"/>
          <w:lang w:val="en-US"/>
        </w:rPr>
        <w:t>Funding sources and expenditure plans</w:t>
      </w:r>
    </w:p>
    <w:p w:rsidR="00877038" w:rsidRPr="00877038" w:rsidRDefault="00877038" w:rsidP="00115C45">
      <w:pPr>
        <w:jc w:val="both"/>
        <w:rPr>
          <w:rFonts w:cs="Arial"/>
          <w:szCs w:val="24"/>
          <w:lang w:val="en-US"/>
        </w:rPr>
      </w:pPr>
      <w:r w:rsidRPr="00877038">
        <w:rPr>
          <w:rFonts w:cs="Arial"/>
          <w:szCs w:val="24"/>
          <w:lang w:val="en-US"/>
        </w:rPr>
        <w:t xml:space="preserve">It will be a condition of the BCF that plans for spending all funding elements are jointly agreed by local authority and CCG partners. Plans will need to confirm that individual elements of the mandatory funding have been used in </w:t>
      </w:r>
      <w:r w:rsidRPr="00877038">
        <w:rPr>
          <w:rFonts w:cs="Arial"/>
          <w:szCs w:val="24"/>
          <w:lang w:val="en-US"/>
        </w:rPr>
        <w:lastRenderedPageBreak/>
        <w:t>accordance with their purpose as set out in the BCF Policy Framework, relevant grant conditions and these requirements.</w:t>
      </w:r>
    </w:p>
    <w:p w:rsidR="00877038" w:rsidRPr="00877038" w:rsidRDefault="00877038" w:rsidP="00115C45">
      <w:pPr>
        <w:jc w:val="both"/>
        <w:rPr>
          <w:rFonts w:cs="Arial"/>
          <w:szCs w:val="24"/>
          <w:lang w:val="en-US"/>
        </w:rPr>
      </w:pPr>
      <w:r w:rsidRPr="00877038">
        <w:rPr>
          <w:rFonts w:cs="Arial"/>
          <w:szCs w:val="24"/>
          <w:lang w:val="en-US"/>
        </w:rPr>
        <w:t xml:space="preserve"> </w:t>
      </w:r>
    </w:p>
    <w:p w:rsidR="00877038" w:rsidRPr="00877038" w:rsidRDefault="00877038" w:rsidP="00115C45">
      <w:pPr>
        <w:jc w:val="both"/>
        <w:rPr>
          <w:rFonts w:cs="Arial"/>
          <w:szCs w:val="24"/>
          <w:lang w:val="en-US"/>
        </w:rPr>
      </w:pPr>
      <w:r w:rsidRPr="00877038">
        <w:rPr>
          <w:rFonts w:cs="Arial"/>
          <w:szCs w:val="24"/>
          <w:lang w:val="en-US"/>
        </w:rPr>
        <w:t>Scheme level spending details will need to include, where appropriate, an indication of the metric or metrics that a scheme is intended to improve. Where a planned scheme is an enabler for integration (for instance a workforce or digital integration scheme), areas will be asked to indicate this on the spending. Areas should also include short descriptions of schemes commissioned in the scheme level expenditure plan.</w:t>
      </w:r>
    </w:p>
    <w:p w:rsidR="00877038" w:rsidRPr="00877038" w:rsidRDefault="00877038" w:rsidP="00115C45">
      <w:pPr>
        <w:jc w:val="both"/>
        <w:rPr>
          <w:rFonts w:cs="Arial"/>
          <w:szCs w:val="24"/>
          <w:lang w:val="en-US"/>
        </w:rPr>
      </w:pPr>
    </w:p>
    <w:p w:rsidR="00877038" w:rsidRPr="00877038" w:rsidRDefault="00877038" w:rsidP="00115C45">
      <w:pPr>
        <w:jc w:val="both"/>
        <w:rPr>
          <w:rFonts w:cs="Arial"/>
          <w:szCs w:val="24"/>
          <w:lang w:val="en-US"/>
        </w:rPr>
      </w:pPr>
      <w:r w:rsidRPr="00877038">
        <w:rPr>
          <w:rFonts w:cs="Arial"/>
          <w:szCs w:val="24"/>
          <w:lang w:val="en-US"/>
        </w:rPr>
        <w:t>Areas can agree to pool additional funds into their BCF plan and associated Section 75 agreement(s). These additional contributions are not subject to the conditions of the BCF but should be recorded in the Planning Template. The mandatory contributions for 2019-20 are set out below:</w:t>
      </w:r>
    </w:p>
    <w:p w:rsidR="00877038" w:rsidRPr="00877038" w:rsidRDefault="00877038" w:rsidP="00115C45">
      <w:pPr>
        <w:jc w:val="both"/>
        <w:rPr>
          <w:rFonts w:cs="Arial"/>
          <w:szCs w:val="24"/>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tblGrid>
      <w:tr w:rsidR="00877038" w:rsidRPr="00877038" w:rsidTr="00491D94">
        <w:tc>
          <w:tcPr>
            <w:tcW w:w="5495" w:type="dxa"/>
            <w:shd w:val="clear" w:color="auto" w:fill="auto"/>
          </w:tcPr>
          <w:p w:rsidR="00877038" w:rsidRPr="00877038" w:rsidRDefault="00877038" w:rsidP="00115C45">
            <w:pPr>
              <w:jc w:val="both"/>
              <w:rPr>
                <w:rFonts w:eastAsia="Calibri"/>
                <w:b/>
                <w:sz w:val="22"/>
                <w:szCs w:val="24"/>
              </w:rPr>
            </w:pPr>
            <w:r w:rsidRPr="00877038">
              <w:rPr>
                <w:rFonts w:eastAsia="Calibri"/>
                <w:b/>
                <w:sz w:val="22"/>
                <w:szCs w:val="24"/>
              </w:rPr>
              <w:t>Funding Source</w:t>
            </w:r>
          </w:p>
        </w:tc>
        <w:tc>
          <w:tcPr>
            <w:tcW w:w="1559" w:type="dxa"/>
            <w:shd w:val="clear" w:color="auto" w:fill="auto"/>
          </w:tcPr>
          <w:p w:rsidR="00877038" w:rsidRPr="00877038" w:rsidRDefault="00877038" w:rsidP="00115C45">
            <w:pPr>
              <w:jc w:val="both"/>
              <w:rPr>
                <w:rFonts w:eastAsia="Calibri" w:cs="Arial"/>
                <w:b/>
                <w:sz w:val="22"/>
                <w:szCs w:val="24"/>
                <w:lang w:val="en-US"/>
              </w:rPr>
            </w:pPr>
            <w:r w:rsidRPr="00877038">
              <w:rPr>
                <w:rFonts w:eastAsia="Calibri" w:cs="Arial"/>
                <w:b/>
                <w:sz w:val="22"/>
                <w:szCs w:val="24"/>
                <w:lang w:val="en-US"/>
              </w:rPr>
              <w:t>National</w:t>
            </w:r>
          </w:p>
        </w:tc>
        <w:tc>
          <w:tcPr>
            <w:tcW w:w="1559" w:type="dxa"/>
            <w:shd w:val="clear" w:color="auto" w:fill="auto"/>
          </w:tcPr>
          <w:p w:rsidR="00877038" w:rsidRPr="00877038" w:rsidRDefault="00877038" w:rsidP="00115C45">
            <w:pPr>
              <w:jc w:val="both"/>
              <w:rPr>
                <w:rFonts w:eastAsia="Calibri" w:cs="Arial"/>
                <w:b/>
                <w:sz w:val="22"/>
                <w:szCs w:val="24"/>
                <w:lang w:val="en-US"/>
              </w:rPr>
            </w:pPr>
            <w:r w:rsidRPr="00877038">
              <w:rPr>
                <w:rFonts w:eastAsia="Calibri" w:cs="Arial"/>
                <w:b/>
                <w:sz w:val="22"/>
                <w:szCs w:val="24"/>
                <w:lang w:val="en-US"/>
              </w:rPr>
              <w:t>Harrow</w:t>
            </w:r>
          </w:p>
        </w:tc>
      </w:tr>
      <w:tr w:rsidR="00877038" w:rsidRPr="00877038" w:rsidTr="00491D94">
        <w:tc>
          <w:tcPr>
            <w:tcW w:w="5495" w:type="dxa"/>
            <w:shd w:val="clear" w:color="auto" w:fill="auto"/>
          </w:tcPr>
          <w:p w:rsidR="00877038" w:rsidRPr="00877038" w:rsidRDefault="00877038" w:rsidP="00115C45">
            <w:pPr>
              <w:jc w:val="both"/>
              <w:rPr>
                <w:rFonts w:eastAsia="Calibri" w:cs="Arial"/>
                <w:szCs w:val="24"/>
                <w:lang w:val="en-US"/>
              </w:rPr>
            </w:pPr>
            <w:r w:rsidRPr="00877038">
              <w:rPr>
                <w:rFonts w:eastAsia="Calibri"/>
                <w:szCs w:val="24"/>
              </w:rPr>
              <w:t>Minimum NHS ring-fenced from CCG allocation</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cs="Arial"/>
                <w:szCs w:val="24"/>
                <w:lang w:val="en-US"/>
              </w:rPr>
              <w:t>£3,840m</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szCs w:val="24"/>
              </w:rPr>
              <w:t>£15.489m</w:t>
            </w:r>
          </w:p>
        </w:tc>
      </w:tr>
      <w:tr w:rsidR="00877038" w:rsidRPr="00877038" w:rsidTr="00491D94">
        <w:tc>
          <w:tcPr>
            <w:tcW w:w="5495" w:type="dxa"/>
            <w:shd w:val="clear" w:color="auto" w:fill="auto"/>
          </w:tcPr>
          <w:p w:rsidR="00877038" w:rsidRPr="00877038" w:rsidRDefault="00877038" w:rsidP="00115C45">
            <w:pPr>
              <w:jc w:val="both"/>
              <w:rPr>
                <w:rFonts w:eastAsia="Calibri" w:cs="Arial"/>
                <w:szCs w:val="24"/>
                <w:lang w:val="en-US"/>
              </w:rPr>
            </w:pPr>
            <w:r w:rsidRPr="00877038">
              <w:rPr>
                <w:rFonts w:eastAsia="Calibri"/>
                <w:szCs w:val="24"/>
              </w:rPr>
              <w:t>Disabled Facilities Grant (DFG)</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cs="Arial"/>
                <w:szCs w:val="24"/>
                <w:lang w:val="en-US"/>
              </w:rPr>
              <w:t>£505m</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szCs w:val="24"/>
              </w:rPr>
              <w:t>£1.517m</w:t>
            </w:r>
          </w:p>
        </w:tc>
      </w:tr>
      <w:tr w:rsidR="00877038" w:rsidRPr="00877038" w:rsidTr="00491D94">
        <w:tc>
          <w:tcPr>
            <w:tcW w:w="5495" w:type="dxa"/>
            <w:shd w:val="clear" w:color="auto" w:fill="auto"/>
          </w:tcPr>
          <w:p w:rsidR="00877038" w:rsidRPr="00877038" w:rsidRDefault="00877038" w:rsidP="00115C45">
            <w:pPr>
              <w:jc w:val="both"/>
              <w:rPr>
                <w:rFonts w:eastAsia="Calibri" w:cs="Arial"/>
                <w:szCs w:val="24"/>
                <w:lang w:val="en-US"/>
              </w:rPr>
            </w:pPr>
            <w:r w:rsidRPr="00877038">
              <w:rPr>
                <w:rFonts w:eastAsia="Calibri" w:cs="Arial"/>
                <w:szCs w:val="24"/>
                <w:lang w:val="en-US"/>
              </w:rPr>
              <w:t>Improved Better Care Fund (</w:t>
            </w:r>
            <w:proofErr w:type="spellStart"/>
            <w:r w:rsidRPr="00877038">
              <w:rPr>
                <w:rFonts w:eastAsia="Calibri" w:cs="Arial"/>
                <w:szCs w:val="24"/>
                <w:lang w:val="en-US"/>
              </w:rPr>
              <w:t>iBCF</w:t>
            </w:r>
            <w:proofErr w:type="spellEnd"/>
            <w:r w:rsidRPr="00877038">
              <w:rPr>
                <w:rFonts w:eastAsia="Calibri" w:cs="Arial"/>
                <w:szCs w:val="24"/>
                <w:lang w:val="en-US"/>
              </w:rPr>
              <w:t>)</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cs="Arial"/>
                <w:szCs w:val="24"/>
                <w:lang w:val="en-US"/>
              </w:rPr>
              <w:t>£1,837m</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szCs w:val="24"/>
              </w:rPr>
              <w:t>£5.498m</w:t>
            </w:r>
          </w:p>
        </w:tc>
      </w:tr>
      <w:tr w:rsidR="00877038" w:rsidRPr="00877038" w:rsidTr="00491D94">
        <w:tc>
          <w:tcPr>
            <w:tcW w:w="5495" w:type="dxa"/>
            <w:shd w:val="clear" w:color="auto" w:fill="auto"/>
          </w:tcPr>
          <w:p w:rsidR="00877038" w:rsidRPr="00877038" w:rsidRDefault="00877038" w:rsidP="00115C45">
            <w:pPr>
              <w:jc w:val="both"/>
              <w:rPr>
                <w:rFonts w:eastAsia="Calibri" w:cs="Arial"/>
                <w:szCs w:val="24"/>
                <w:lang w:val="en-US"/>
              </w:rPr>
            </w:pPr>
            <w:r w:rsidRPr="00877038">
              <w:rPr>
                <w:rFonts w:eastAsia="Calibri"/>
                <w:szCs w:val="24"/>
              </w:rPr>
              <w:t>Winter Pressures Grant</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cs="Arial"/>
                <w:szCs w:val="24"/>
                <w:lang w:val="en-US"/>
              </w:rPr>
              <w:t>£240m</w:t>
            </w:r>
          </w:p>
        </w:tc>
        <w:tc>
          <w:tcPr>
            <w:tcW w:w="1559" w:type="dxa"/>
            <w:shd w:val="clear" w:color="auto" w:fill="auto"/>
          </w:tcPr>
          <w:p w:rsidR="00877038" w:rsidRPr="00877038" w:rsidRDefault="00877038" w:rsidP="00115C45">
            <w:pPr>
              <w:jc w:val="both"/>
              <w:rPr>
                <w:rFonts w:eastAsia="Calibri" w:cs="Arial"/>
                <w:szCs w:val="24"/>
                <w:lang w:val="en-US"/>
              </w:rPr>
            </w:pPr>
            <w:r w:rsidRPr="00877038">
              <w:rPr>
                <w:rFonts w:eastAsia="Calibri"/>
                <w:szCs w:val="24"/>
              </w:rPr>
              <w:t>£0.970m</w:t>
            </w:r>
          </w:p>
        </w:tc>
      </w:tr>
      <w:tr w:rsidR="00877038" w:rsidRPr="00877038" w:rsidTr="00491D94">
        <w:tc>
          <w:tcPr>
            <w:tcW w:w="5495" w:type="dxa"/>
            <w:shd w:val="clear" w:color="auto" w:fill="auto"/>
          </w:tcPr>
          <w:p w:rsidR="00877038" w:rsidRPr="00877038" w:rsidRDefault="00877038" w:rsidP="00115C45">
            <w:pPr>
              <w:jc w:val="both"/>
              <w:rPr>
                <w:rFonts w:eastAsia="Calibri" w:cs="Arial"/>
                <w:b/>
                <w:szCs w:val="24"/>
                <w:lang w:val="en-US"/>
              </w:rPr>
            </w:pPr>
            <w:r w:rsidRPr="00877038">
              <w:rPr>
                <w:rFonts w:eastAsia="Calibri" w:cs="Arial"/>
                <w:b/>
                <w:szCs w:val="24"/>
                <w:lang w:val="en-US"/>
              </w:rPr>
              <w:t>Total</w:t>
            </w:r>
          </w:p>
        </w:tc>
        <w:tc>
          <w:tcPr>
            <w:tcW w:w="1559" w:type="dxa"/>
            <w:shd w:val="clear" w:color="auto" w:fill="auto"/>
          </w:tcPr>
          <w:p w:rsidR="00877038" w:rsidRPr="00877038" w:rsidRDefault="00877038" w:rsidP="00115C45">
            <w:pPr>
              <w:jc w:val="both"/>
              <w:rPr>
                <w:rFonts w:eastAsia="Calibri" w:cs="Arial"/>
                <w:b/>
                <w:szCs w:val="24"/>
                <w:lang w:val="en-US"/>
              </w:rPr>
            </w:pPr>
            <w:r w:rsidRPr="00877038">
              <w:rPr>
                <w:rFonts w:eastAsia="Calibri" w:cs="Arial"/>
                <w:b/>
                <w:szCs w:val="24"/>
                <w:lang w:val="en-US"/>
              </w:rPr>
              <w:t>£6,422m</w:t>
            </w:r>
          </w:p>
        </w:tc>
        <w:tc>
          <w:tcPr>
            <w:tcW w:w="1559" w:type="dxa"/>
            <w:shd w:val="clear" w:color="auto" w:fill="auto"/>
          </w:tcPr>
          <w:p w:rsidR="00877038" w:rsidRPr="00877038" w:rsidRDefault="00877038" w:rsidP="00115C45">
            <w:pPr>
              <w:jc w:val="both"/>
              <w:rPr>
                <w:rFonts w:eastAsia="Calibri" w:cs="Arial"/>
                <w:b/>
                <w:szCs w:val="24"/>
                <w:lang w:val="en-US"/>
              </w:rPr>
            </w:pPr>
            <w:r w:rsidRPr="00877038">
              <w:rPr>
                <w:rFonts w:eastAsia="Calibri"/>
                <w:b/>
                <w:szCs w:val="24"/>
              </w:rPr>
              <w:t>£23.474m</w:t>
            </w:r>
          </w:p>
        </w:tc>
      </w:tr>
    </w:tbl>
    <w:p w:rsidR="00877038" w:rsidRPr="00877038" w:rsidRDefault="00877038" w:rsidP="00115C45">
      <w:pPr>
        <w:autoSpaceDE w:val="0"/>
        <w:autoSpaceDN w:val="0"/>
        <w:adjustRightInd w:val="0"/>
        <w:jc w:val="both"/>
        <w:rPr>
          <w:rFonts w:cs="Arial"/>
          <w:b/>
          <w:bCs/>
          <w:color w:val="000000"/>
          <w:sz w:val="23"/>
          <w:szCs w:val="23"/>
          <w:lang w:eastAsia="en-GB"/>
        </w:rPr>
      </w:pPr>
    </w:p>
    <w:p w:rsidR="00877038" w:rsidRPr="00877038" w:rsidRDefault="00877038" w:rsidP="00115C45">
      <w:pPr>
        <w:autoSpaceDE w:val="0"/>
        <w:autoSpaceDN w:val="0"/>
        <w:adjustRightInd w:val="0"/>
        <w:jc w:val="both"/>
        <w:rPr>
          <w:rFonts w:cs="Arial"/>
          <w:color w:val="000000"/>
          <w:sz w:val="28"/>
          <w:szCs w:val="28"/>
          <w:lang w:eastAsia="en-GB"/>
        </w:rPr>
      </w:pPr>
      <w:r w:rsidRPr="00877038">
        <w:rPr>
          <w:rFonts w:cs="Arial"/>
          <w:b/>
          <w:bCs/>
          <w:color w:val="000000"/>
          <w:sz w:val="28"/>
          <w:szCs w:val="28"/>
          <w:lang w:eastAsia="en-GB"/>
        </w:rPr>
        <w:t xml:space="preserve">CCG minimum contribution </w:t>
      </w:r>
    </w:p>
    <w:p w:rsidR="00877038" w:rsidRPr="00877038" w:rsidRDefault="00877038" w:rsidP="00115C45">
      <w:pPr>
        <w:autoSpaceDE w:val="0"/>
        <w:autoSpaceDN w:val="0"/>
        <w:adjustRightInd w:val="0"/>
        <w:jc w:val="both"/>
        <w:rPr>
          <w:rFonts w:cs="Arial"/>
          <w:color w:val="000000"/>
          <w:szCs w:val="24"/>
          <w:lang w:eastAsia="en-GB"/>
        </w:rPr>
      </w:pPr>
      <w:r w:rsidRPr="00877038">
        <w:rPr>
          <w:rFonts w:cs="Arial"/>
          <w:color w:val="000000"/>
          <w:szCs w:val="24"/>
          <w:lang w:eastAsia="en-GB"/>
        </w:rPr>
        <w:t xml:space="preserve">The mandate to NHS England for 2019-20 sets out an objective to ring-fence £3.84bn in 2019-20 within its overall allocation to CCGs to be pooled into the BCF and subject to the conditions set out in the Policy Framework and Operating Requirements. </w:t>
      </w:r>
    </w:p>
    <w:p w:rsidR="00877038" w:rsidRPr="00877038" w:rsidRDefault="00877038" w:rsidP="00115C45">
      <w:pPr>
        <w:autoSpaceDE w:val="0"/>
        <w:autoSpaceDN w:val="0"/>
        <w:adjustRightInd w:val="0"/>
        <w:jc w:val="both"/>
        <w:rPr>
          <w:rFonts w:cs="Arial"/>
          <w:color w:val="000000"/>
          <w:szCs w:val="24"/>
          <w:lang w:eastAsia="en-GB"/>
        </w:rPr>
      </w:pPr>
    </w:p>
    <w:p w:rsidR="00877038" w:rsidRPr="00877038" w:rsidRDefault="00877038" w:rsidP="00115C45">
      <w:pPr>
        <w:autoSpaceDE w:val="0"/>
        <w:autoSpaceDN w:val="0"/>
        <w:adjustRightInd w:val="0"/>
        <w:spacing w:after="158"/>
        <w:jc w:val="both"/>
        <w:rPr>
          <w:rFonts w:cs="Arial"/>
          <w:color w:val="000000"/>
          <w:szCs w:val="24"/>
          <w:lang w:eastAsia="en-GB"/>
        </w:rPr>
      </w:pPr>
      <w:r w:rsidRPr="00877038">
        <w:rPr>
          <w:rFonts w:cs="Arial"/>
          <w:color w:val="000000"/>
          <w:szCs w:val="24"/>
          <w:lang w:eastAsia="en-GB"/>
        </w:rPr>
        <w:t xml:space="preserve">NHS England has published allocations from this national </w:t>
      </w:r>
      <w:proofErr w:type="spellStart"/>
      <w:r w:rsidRPr="00877038">
        <w:rPr>
          <w:rFonts w:cs="Arial"/>
          <w:color w:val="000000"/>
          <w:szCs w:val="24"/>
          <w:lang w:eastAsia="en-GB"/>
        </w:rPr>
        <w:t>ringfence</w:t>
      </w:r>
      <w:proofErr w:type="spellEnd"/>
      <w:r w:rsidRPr="00877038">
        <w:rPr>
          <w:rFonts w:cs="Arial"/>
          <w:color w:val="000000"/>
          <w:szCs w:val="24"/>
          <w:lang w:eastAsia="en-GB"/>
        </w:rPr>
        <w:t xml:space="preserve"> for each CCG for 2019-20, on its website. The allocation for each CCG includes funding to support local authority delivery of </w:t>
      </w:r>
      <w:proofErr w:type="spellStart"/>
      <w:r w:rsidRPr="00877038">
        <w:rPr>
          <w:rFonts w:cs="Arial"/>
          <w:color w:val="000000"/>
          <w:szCs w:val="24"/>
          <w:lang w:eastAsia="en-GB"/>
        </w:rPr>
        <w:t>reablement</w:t>
      </w:r>
      <w:proofErr w:type="spellEnd"/>
      <w:r w:rsidRPr="00877038">
        <w:rPr>
          <w:rFonts w:cs="Arial"/>
          <w:color w:val="000000"/>
          <w:szCs w:val="24"/>
          <w:lang w:eastAsia="en-GB"/>
        </w:rPr>
        <w:t>, Carers Breaks and implementation of duties to fund carer support under the Care Act 2014.</w:t>
      </w:r>
    </w:p>
    <w:p w:rsidR="00877038" w:rsidRPr="00877038" w:rsidRDefault="00877038" w:rsidP="00115C45">
      <w:pPr>
        <w:jc w:val="both"/>
        <w:rPr>
          <w:rFonts w:cs="Arial"/>
          <w:szCs w:val="24"/>
          <w:lang w:val="en-US"/>
        </w:rPr>
      </w:pPr>
    </w:p>
    <w:p w:rsidR="00877038" w:rsidRPr="00877038" w:rsidRDefault="00877038" w:rsidP="00115C45">
      <w:pPr>
        <w:autoSpaceDE w:val="0"/>
        <w:autoSpaceDN w:val="0"/>
        <w:adjustRightInd w:val="0"/>
        <w:jc w:val="both"/>
        <w:rPr>
          <w:rFonts w:cs="Arial"/>
          <w:color w:val="000000"/>
          <w:sz w:val="28"/>
          <w:szCs w:val="28"/>
          <w:lang w:eastAsia="en-GB"/>
        </w:rPr>
      </w:pPr>
      <w:r w:rsidRPr="00877038">
        <w:rPr>
          <w:rFonts w:cs="Arial"/>
          <w:b/>
          <w:bCs/>
          <w:color w:val="000000"/>
          <w:sz w:val="28"/>
          <w:szCs w:val="28"/>
          <w:lang w:eastAsia="en-GB"/>
        </w:rPr>
        <w:t xml:space="preserve">Grant Funding to local government to be pooled into BCF plans </w:t>
      </w:r>
    </w:p>
    <w:p w:rsidR="00877038" w:rsidRPr="00877038" w:rsidRDefault="00877038" w:rsidP="00115C45">
      <w:pPr>
        <w:autoSpaceDE w:val="0"/>
        <w:autoSpaceDN w:val="0"/>
        <w:adjustRightInd w:val="0"/>
        <w:jc w:val="both"/>
        <w:rPr>
          <w:rFonts w:cs="Arial"/>
          <w:color w:val="000000"/>
          <w:szCs w:val="24"/>
          <w:lang w:eastAsia="en-GB"/>
        </w:rPr>
      </w:pPr>
      <w:r w:rsidRPr="00877038">
        <w:rPr>
          <w:rFonts w:cs="Arial"/>
          <w:color w:val="000000"/>
          <w:szCs w:val="24"/>
          <w:lang w:eastAsia="en-GB"/>
        </w:rPr>
        <w:t xml:space="preserve">The DFG, </w:t>
      </w:r>
      <w:proofErr w:type="spellStart"/>
      <w:r w:rsidRPr="00877038">
        <w:rPr>
          <w:rFonts w:cs="Arial"/>
          <w:color w:val="000000"/>
          <w:szCs w:val="24"/>
          <w:lang w:eastAsia="en-GB"/>
        </w:rPr>
        <w:t>iBCF</w:t>
      </w:r>
      <w:proofErr w:type="spellEnd"/>
      <w:r w:rsidRPr="00877038">
        <w:rPr>
          <w:rFonts w:cs="Arial"/>
          <w:color w:val="000000"/>
          <w:szCs w:val="24"/>
          <w:lang w:eastAsia="en-GB"/>
        </w:rPr>
        <w:t xml:space="preserve"> and Winter Pressures grant monies are paid directly to local authorities under Section 31 of the Local Government Act 2003, with specific grant conditions, including a requirement that the funding is pooled in the BCF. </w:t>
      </w:r>
    </w:p>
    <w:p w:rsidR="00877038" w:rsidRPr="00877038" w:rsidRDefault="00877038" w:rsidP="00115C45">
      <w:pPr>
        <w:autoSpaceDE w:val="0"/>
        <w:autoSpaceDN w:val="0"/>
        <w:adjustRightInd w:val="0"/>
        <w:jc w:val="both"/>
        <w:rPr>
          <w:rFonts w:cs="Arial"/>
          <w:color w:val="000000"/>
          <w:sz w:val="23"/>
          <w:szCs w:val="23"/>
          <w:lang w:eastAsia="en-GB"/>
        </w:rPr>
      </w:pPr>
    </w:p>
    <w:p w:rsidR="00877038" w:rsidRPr="00877038" w:rsidRDefault="00877038" w:rsidP="00115C45">
      <w:pPr>
        <w:autoSpaceDE w:val="0"/>
        <w:autoSpaceDN w:val="0"/>
        <w:adjustRightInd w:val="0"/>
        <w:spacing w:after="38"/>
        <w:jc w:val="both"/>
        <w:rPr>
          <w:rFonts w:cs="Arial"/>
          <w:color w:val="000000"/>
          <w:szCs w:val="24"/>
          <w:lang w:eastAsia="en-GB"/>
        </w:rPr>
      </w:pPr>
      <w:r w:rsidRPr="00877038">
        <w:rPr>
          <w:rFonts w:cs="Arial"/>
          <w:color w:val="000000"/>
          <w:szCs w:val="24"/>
          <w:lang w:eastAsia="en-GB"/>
        </w:rPr>
        <w:t xml:space="preserve">The Grant Determination for the </w:t>
      </w:r>
      <w:proofErr w:type="spellStart"/>
      <w:r w:rsidRPr="00877038">
        <w:rPr>
          <w:rFonts w:cs="Arial"/>
          <w:color w:val="000000"/>
          <w:szCs w:val="24"/>
          <w:lang w:eastAsia="en-GB"/>
        </w:rPr>
        <w:t>iBCF</w:t>
      </w:r>
      <w:proofErr w:type="spellEnd"/>
      <w:r w:rsidRPr="00877038">
        <w:rPr>
          <w:rFonts w:cs="Arial"/>
          <w:color w:val="000000"/>
          <w:szCs w:val="24"/>
          <w:lang w:eastAsia="en-GB"/>
        </w:rPr>
        <w:t xml:space="preserve"> and winter pressures funding details the conditions of the grant funding as follows: </w:t>
      </w:r>
    </w:p>
    <w:p w:rsidR="00877038" w:rsidRPr="00877038" w:rsidRDefault="00877038" w:rsidP="00115C45">
      <w:pPr>
        <w:numPr>
          <w:ilvl w:val="0"/>
          <w:numId w:val="15"/>
        </w:numPr>
        <w:autoSpaceDE w:val="0"/>
        <w:autoSpaceDN w:val="0"/>
        <w:adjustRightInd w:val="0"/>
        <w:spacing w:after="38"/>
        <w:jc w:val="both"/>
        <w:rPr>
          <w:rFonts w:cs="Arial"/>
          <w:color w:val="000000"/>
          <w:szCs w:val="24"/>
          <w:lang w:eastAsia="en-GB"/>
        </w:rPr>
      </w:pPr>
      <w:r w:rsidRPr="00877038">
        <w:rPr>
          <w:rFonts w:cs="Arial"/>
          <w:color w:val="000000"/>
          <w:szCs w:val="24"/>
          <w:lang w:eastAsia="en-GB"/>
        </w:rPr>
        <w:t xml:space="preserve">meeting adult social care needs; </w:t>
      </w:r>
    </w:p>
    <w:p w:rsidR="00877038" w:rsidRPr="00877038" w:rsidRDefault="00877038" w:rsidP="00115C45">
      <w:pPr>
        <w:numPr>
          <w:ilvl w:val="0"/>
          <w:numId w:val="15"/>
        </w:numPr>
        <w:autoSpaceDE w:val="0"/>
        <w:autoSpaceDN w:val="0"/>
        <w:adjustRightInd w:val="0"/>
        <w:spacing w:after="38"/>
        <w:jc w:val="both"/>
        <w:rPr>
          <w:rFonts w:cs="Arial"/>
          <w:color w:val="000000"/>
          <w:szCs w:val="24"/>
          <w:lang w:eastAsia="en-GB"/>
        </w:rPr>
      </w:pPr>
      <w:r w:rsidRPr="00877038">
        <w:rPr>
          <w:rFonts w:cs="Arial"/>
          <w:color w:val="000000"/>
          <w:szCs w:val="24"/>
          <w:lang w:eastAsia="en-GB"/>
        </w:rPr>
        <w:t xml:space="preserve">reducing pressures on the NHS, including supporting more people to be discharged from hospital when they are ready;  </w:t>
      </w:r>
    </w:p>
    <w:p w:rsidR="00877038" w:rsidRPr="00877038" w:rsidRDefault="00877038" w:rsidP="00115C45">
      <w:pPr>
        <w:numPr>
          <w:ilvl w:val="0"/>
          <w:numId w:val="15"/>
        </w:numPr>
        <w:autoSpaceDE w:val="0"/>
        <w:autoSpaceDN w:val="0"/>
        <w:adjustRightInd w:val="0"/>
        <w:jc w:val="both"/>
        <w:rPr>
          <w:rFonts w:cs="Arial"/>
          <w:color w:val="000000"/>
          <w:szCs w:val="24"/>
          <w:lang w:eastAsia="en-GB"/>
        </w:rPr>
      </w:pPr>
      <w:r w:rsidRPr="00877038">
        <w:rPr>
          <w:rFonts w:cs="Arial"/>
          <w:color w:val="000000"/>
          <w:szCs w:val="24"/>
          <w:lang w:eastAsia="en-GB"/>
        </w:rPr>
        <w:t>ensuring that the local social care provider market is supported; and</w:t>
      </w:r>
    </w:p>
    <w:p w:rsidR="00877038" w:rsidRPr="00877038" w:rsidRDefault="00877038" w:rsidP="00115C45">
      <w:pPr>
        <w:numPr>
          <w:ilvl w:val="0"/>
          <w:numId w:val="15"/>
        </w:numPr>
        <w:autoSpaceDE w:val="0"/>
        <w:autoSpaceDN w:val="0"/>
        <w:adjustRightInd w:val="0"/>
        <w:jc w:val="both"/>
        <w:rPr>
          <w:rFonts w:cs="Arial"/>
          <w:color w:val="000000"/>
          <w:szCs w:val="24"/>
          <w:lang w:eastAsia="en-GB"/>
        </w:rPr>
      </w:pPr>
      <w:proofErr w:type="gramStart"/>
      <w:r w:rsidRPr="00877038">
        <w:rPr>
          <w:rFonts w:cs="Arial"/>
          <w:color w:val="000000"/>
          <w:szCs w:val="24"/>
          <w:lang w:eastAsia="en-GB"/>
        </w:rPr>
        <w:t>supporting</w:t>
      </w:r>
      <w:proofErr w:type="gramEnd"/>
      <w:r w:rsidRPr="00877038">
        <w:rPr>
          <w:rFonts w:cs="Arial"/>
          <w:color w:val="000000"/>
          <w:szCs w:val="24"/>
          <w:lang w:eastAsia="en-GB"/>
        </w:rPr>
        <w:t xml:space="preserve"> the local health and care system to manage demand pressures on the NHS with particular reference to seasonal winter pressures. </w:t>
      </w:r>
    </w:p>
    <w:p w:rsidR="00877038" w:rsidRPr="00877038" w:rsidRDefault="00877038" w:rsidP="00115C45">
      <w:pPr>
        <w:autoSpaceDE w:val="0"/>
        <w:autoSpaceDN w:val="0"/>
        <w:adjustRightInd w:val="0"/>
        <w:jc w:val="both"/>
        <w:rPr>
          <w:rFonts w:cs="Arial"/>
          <w:color w:val="000000"/>
          <w:sz w:val="23"/>
          <w:szCs w:val="23"/>
          <w:lang w:eastAsia="en-GB"/>
        </w:rPr>
      </w:pPr>
    </w:p>
    <w:p w:rsidR="00877038" w:rsidRPr="00877038" w:rsidRDefault="00877038" w:rsidP="00115C45">
      <w:pPr>
        <w:autoSpaceDE w:val="0"/>
        <w:autoSpaceDN w:val="0"/>
        <w:adjustRightInd w:val="0"/>
        <w:jc w:val="both"/>
        <w:rPr>
          <w:rFonts w:cs="Arial"/>
          <w:color w:val="000000"/>
          <w:szCs w:val="24"/>
          <w:lang w:eastAsia="en-GB"/>
        </w:rPr>
      </w:pPr>
      <w:r w:rsidRPr="00877038">
        <w:rPr>
          <w:rFonts w:cs="Arial"/>
          <w:color w:val="000000"/>
          <w:szCs w:val="24"/>
          <w:lang w:eastAsia="en-GB"/>
        </w:rPr>
        <w:lastRenderedPageBreak/>
        <w:t xml:space="preserve">The DFG (capital) grant encourages areas to think strategically about the use of home adaptations, the use of technologies to support people to live independently in their own homes for longer, and to take a joined-up approach to improving outcomes across health, social care and housing. </w:t>
      </w:r>
    </w:p>
    <w:p w:rsidR="00877038" w:rsidRPr="00877038" w:rsidRDefault="00877038" w:rsidP="00115C45">
      <w:pPr>
        <w:autoSpaceDE w:val="0"/>
        <w:autoSpaceDN w:val="0"/>
        <w:adjustRightInd w:val="0"/>
        <w:jc w:val="both"/>
        <w:rPr>
          <w:rFonts w:cs="Arial"/>
          <w:color w:val="000000"/>
          <w:szCs w:val="24"/>
          <w:lang w:eastAsia="en-GB"/>
        </w:rPr>
      </w:pPr>
    </w:p>
    <w:p w:rsidR="00877038" w:rsidRPr="00877038" w:rsidRDefault="00877038" w:rsidP="00115C45">
      <w:pPr>
        <w:jc w:val="both"/>
        <w:rPr>
          <w:szCs w:val="24"/>
        </w:rPr>
      </w:pPr>
      <w:r w:rsidRPr="00877038">
        <w:rPr>
          <w:szCs w:val="24"/>
        </w:rPr>
        <w:t>Innovation in this area c</w:t>
      </w:r>
      <w:r w:rsidRPr="00877038">
        <w:t>an</w:t>
      </w:r>
      <w:r w:rsidRPr="00877038">
        <w:rPr>
          <w:szCs w:val="24"/>
        </w:rPr>
        <w:t xml:space="preserve"> include combining DFG and other funding sources to create fast-track delivery systems, alongside information and advice services about local housing options. </w:t>
      </w:r>
      <w:r w:rsidRPr="00877038">
        <w:t xml:space="preserve">  </w:t>
      </w:r>
      <w:r w:rsidRPr="00877038">
        <w:rPr>
          <w:szCs w:val="24"/>
        </w:rPr>
        <w:t xml:space="preserve">During these discussions, it will be important to continue to ensure that local needs for aids and adaptations are met, while also considering how adaptation delivery systems can help meet wider objectives around integration. </w:t>
      </w:r>
    </w:p>
    <w:p w:rsidR="00877038" w:rsidRPr="00877038" w:rsidRDefault="00877038" w:rsidP="00115C45">
      <w:pPr>
        <w:jc w:val="both"/>
        <w:rPr>
          <w:rFonts w:cs="Arial"/>
          <w:szCs w:val="24"/>
          <w:lang w:val="en-US"/>
        </w:rPr>
      </w:pPr>
    </w:p>
    <w:p w:rsidR="00877038" w:rsidRPr="00877038" w:rsidRDefault="00877038" w:rsidP="00115C45">
      <w:pPr>
        <w:jc w:val="both"/>
        <w:outlineLvl w:val="1"/>
        <w:rPr>
          <w:rFonts w:cs="Arial"/>
          <w:b/>
          <w:bCs/>
          <w:sz w:val="28"/>
          <w:szCs w:val="32"/>
        </w:rPr>
      </w:pPr>
      <w:bookmarkStart w:id="1" w:name="_Better_Care_Exchange"/>
      <w:bookmarkEnd w:id="1"/>
      <w:r w:rsidRPr="00877038">
        <w:rPr>
          <w:rFonts w:cs="Arial"/>
          <w:b/>
          <w:bCs/>
          <w:sz w:val="28"/>
          <w:szCs w:val="32"/>
        </w:rPr>
        <w:t>Harrow Schemes</w:t>
      </w:r>
    </w:p>
    <w:p w:rsidR="00877038" w:rsidRPr="00877038" w:rsidRDefault="00877038" w:rsidP="00115C45">
      <w:pPr>
        <w:jc w:val="both"/>
      </w:pPr>
      <w:r w:rsidRPr="00877038">
        <w:t>The plan for 2019-20 has been uplifted by the required inflationary amounts and will be underpinned by a section 75 agreement to enable the transfer of the funding from NHS England.</w:t>
      </w:r>
    </w:p>
    <w:p w:rsidR="00877038" w:rsidRPr="00877038" w:rsidRDefault="00877038" w:rsidP="00115C45">
      <w:pPr>
        <w:jc w:val="both"/>
      </w:pPr>
    </w:p>
    <w:p w:rsidR="00877038" w:rsidRPr="00877038" w:rsidRDefault="00877038" w:rsidP="00115C45">
      <w:pPr>
        <w:jc w:val="both"/>
      </w:pPr>
      <w:r w:rsidRPr="00877038">
        <w:t xml:space="preserve">The BCF template to be submitted will detail a number of schemes within the overall scheme type and will be supported by a range of metrics.  These schemes are currently being agreed.    </w:t>
      </w:r>
    </w:p>
    <w:p w:rsidR="00877038" w:rsidRPr="00877038" w:rsidRDefault="00877038" w:rsidP="00115C45">
      <w:pPr>
        <w:jc w:val="both"/>
      </w:pPr>
    </w:p>
    <w:p w:rsidR="00877038" w:rsidRPr="00877038" w:rsidRDefault="00877038" w:rsidP="00115C45">
      <w:pPr>
        <w:jc w:val="both"/>
      </w:pPr>
      <w:r w:rsidRPr="00877038">
        <w:t>The Q2 BCF update to be reported to the HWBB at the November meeting will provide the scheme level detail however detailed below are the anticipated overarching schemes by type:</w:t>
      </w:r>
    </w:p>
    <w:p w:rsidR="00877038" w:rsidRPr="00877038" w:rsidRDefault="00877038" w:rsidP="00115C45">
      <w:pPr>
        <w:jc w:val="both"/>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21"/>
        <w:gridCol w:w="1488"/>
        <w:gridCol w:w="1276"/>
      </w:tblGrid>
      <w:tr w:rsidR="00877038" w:rsidRPr="00877038" w:rsidTr="00491D94">
        <w:tc>
          <w:tcPr>
            <w:tcW w:w="4503" w:type="dxa"/>
            <w:shd w:val="clear" w:color="auto" w:fill="auto"/>
          </w:tcPr>
          <w:p w:rsidR="00877038" w:rsidRPr="00877038" w:rsidRDefault="00877038" w:rsidP="00115C45">
            <w:pPr>
              <w:spacing w:after="160" w:line="259" w:lineRule="auto"/>
              <w:jc w:val="both"/>
              <w:rPr>
                <w:rFonts w:eastAsia="Calibri" w:cs="Arial"/>
                <w:b/>
                <w:szCs w:val="24"/>
              </w:rPr>
            </w:pPr>
            <w:r w:rsidRPr="00877038">
              <w:rPr>
                <w:rFonts w:eastAsia="Calibri" w:cs="Arial"/>
                <w:b/>
                <w:szCs w:val="24"/>
              </w:rPr>
              <w:t>Scheme</w:t>
            </w:r>
          </w:p>
        </w:tc>
        <w:tc>
          <w:tcPr>
            <w:tcW w:w="921" w:type="dxa"/>
          </w:tcPr>
          <w:p w:rsidR="00877038" w:rsidRPr="00877038" w:rsidRDefault="00877038" w:rsidP="00115C45">
            <w:pPr>
              <w:spacing w:line="259" w:lineRule="auto"/>
              <w:jc w:val="both"/>
              <w:rPr>
                <w:rFonts w:eastAsia="Calibri" w:cs="Arial"/>
                <w:b/>
                <w:szCs w:val="24"/>
              </w:rPr>
            </w:pPr>
            <w:r w:rsidRPr="00877038">
              <w:rPr>
                <w:rFonts w:eastAsia="Calibri" w:cs="Arial"/>
                <w:b/>
                <w:szCs w:val="24"/>
              </w:rPr>
              <w:t>Body</w:t>
            </w:r>
          </w:p>
        </w:tc>
        <w:tc>
          <w:tcPr>
            <w:tcW w:w="1488" w:type="dxa"/>
            <w:shd w:val="clear" w:color="auto" w:fill="auto"/>
          </w:tcPr>
          <w:p w:rsidR="00877038" w:rsidRPr="00877038" w:rsidRDefault="00877038" w:rsidP="00115C45">
            <w:pPr>
              <w:spacing w:line="259" w:lineRule="auto"/>
              <w:jc w:val="both"/>
              <w:rPr>
                <w:rFonts w:eastAsia="Calibri" w:cs="Arial"/>
                <w:b/>
                <w:szCs w:val="24"/>
              </w:rPr>
            </w:pPr>
            <w:r w:rsidRPr="00877038">
              <w:rPr>
                <w:rFonts w:eastAsia="Calibri" w:cs="Arial"/>
                <w:b/>
                <w:szCs w:val="24"/>
              </w:rPr>
              <w:t>2018-19</w:t>
            </w:r>
          </w:p>
          <w:p w:rsidR="00877038" w:rsidRPr="00877038" w:rsidRDefault="00877038" w:rsidP="00115C45">
            <w:pPr>
              <w:spacing w:line="259" w:lineRule="auto"/>
              <w:jc w:val="both"/>
              <w:rPr>
                <w:rFonts w:eastAsia="Calibri" w:cs="Arial"/>
                <w:b/>
                <w:szCs w:val="24"/>
              </w:rPr>
            </w:pPr>
            <w:r w:rsidRPr="00877038">
              <w:rPr>
                <w:rFonts w:eastAsia="Calibri" w:cs="Arial"/>
                <w:b/>
                <w:szCs w:val="24"/>
              </w:rPr>
              <w:t>£000</w:t>
            </w:r>
          </w:p>
        </w:tc>
        <w:tc>
          <w:tcPr>
            <w:tcW w:w="1276" w:type="dxa"/>
            <w:shd w:val="clear" w:color="auto" w:fill="auto"/>
          </w:tcPr>
          <w:p w:rsidR="00877038" w:rsidRPr="00877038" w:rsidRDefault="00877038" w:rsidP="00115C45">
            <w:pPr>
              <w:spacing w:line="259" w:lineRule="auto"/>
              <w:jc w:val="both"/>
              <w:rPr>
                <w:rFonts w:eastAsia="Calibri" w:cs="Arial"/>
                <w:b/>
                <w:szCs w:val="24"/>
              </w:rPr>
            </w:pPr>
            <w:r w:rsidRPr="00877038">
              <w:rPr>
                <w:rFonts w:eastAsia="Calibri" w:cs="Arial"/>
                <w:b/>
                <w:szCs w:val="24"/>
              </w:rPr>
              <w:t>2019-20</w:t>
            </w:r>
          </w:p>
          <w:p w:rsidR="00877038" w:rsidRPr="00877038" w:rsidRDefault="00877038" w:rsidP="00115C45">
            <w:pPr>
              <w:spacing w:line="259" w:lineRule="auto"/>
              <w:jc w:val="both"/>
              <w:rPr>
                <w:rFonts w:eastAsia="Calibri" w:cs="Arial"/>
                <w:b/>
                <w:szCs w:val="24"/>
              </w:rPr>
            </w:pPr>
            <w:r w:rsidRPr="00877038">
              <w:rPr>
                <w:rFonts w:eastAsia="Calibri" w:cs="Arial"/>
                <w:b/>
                <w:szCs w:val="24"/>
              </w:rPr>
              <w:t>£000</w:t>
            </w:r>
          </w:p>
        </w:tc>
      </w:tr>
      <w:tr w:rsidR="00877038" w:rsidRPr="00877038" w:rsidTr="00491D94">
        <w:tc>
          <w:tcPr>
            <w:tcW w:w="4503"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Transformation of Community Services</w:t>
            </w:r>
          </w:p>
        </w:tc>
        <w:tc>
          <w:tcPr>
            <w:tcW w:w="921" w:type="dxa"/>
          </w:tcPr>
          <w:p w:rsidR="00877038" w:rsidRPr="00877038" w:rsidRDefault="00877038" w:rsidP="00115C45">
            <w:pPr>
              <w:spacing w:line="259" w:lineRule="auto"/>
              <w:jc w:val="both"/>
              <w:rPr>
                <w:rFonts w:eastAsia="Calibri" w:cs="Arial"/>
                <w:szCs w:val="24"/>
              </w:rPr>
            </w:pPr>
            <w:r w:rsidRPr="00877038">
              <w:rPr>
                <w:rFonts w:eastAsia="Calibri" w:cs="Arial"/>
                <w:szCs w:val="24"/>
              </w:rPr>
              <w:t>CCG</w:t>
            </w:r>
          </w:p>
        </w:tc>
        <w:tc>
          <w:tcPr>
            <w:tcW w:w="1488"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7,604</w:t>
            </w:r>
          </w:p>
        </w:tc>
        <w:tc>
          <w:tcPr>
            <w:tcW w:w="1276"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7,302</w:t>
            </w:r>
          </w:p>
        </w:tc>
      </w:tr>
      <w:tr w:rsidR="00877038" w:rsidRPr="00877038" w:rsidTr="00491D94">
        <w:tc>
          <w:tcPr>
            <w:tcW w:w="4503"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Whole Systems Integrated Care</w:t>
            </w:r>
          </w:p>
        </w:tc>
        <w:tc>
          <w:tcPr>
            <w:tcW w:w="921" w:type="dxa"/>
          </w:tcPr>
          <w:p w:rsidR="00877038" w:rsidRPr="00877038" w:rsidRDefault="00877038" w:rsidP="00115C45">
            <w:pPr>
              <w:spacing w:line="259" w:lineRule="auto"/>
              <w:jc w:val="both"/>
              <w:rPr>
                <w:rFonts w:eastAsia="Calibri" w:cs="Arial"/>
                <w:szCs w:val="24"/>
              </w:rPr>
            </w:pPr>
            <w:r w:rsidRPr="00877038">
              <w:rPr>
                <w:rFonts w:eastAsia="Calibri" w:cs="Arial"/>
                <w:szCs w:val="24"/>
              </w:rPr>
              <w:t>CCG</w:t>
            </w:r>
          </w:p>
        </w:tc>
        <w:tc>
          <w:tcPr>
            <w:tcW w:w="1488"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2,537</w:t>
            </w:r>
          </w:p>
        </w:tc>
        <w:tc>
          <w:tcPr>
            <w:tcW w:w="1276"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2,623</w:t>
            </w:r>
          </w:p>
        </w:tc>
      </w:tr>
      <w:tr w:rsidR="00877038" w:rsidRPr="00877038" w:rsidTr="00491D94">
        <w:tc>
          <w:tcPr>
            <w:tcW w:w="4503"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Protecting Social Care</w:t>
            </w:r>
          </w:p>
        </w:tc>
        <w:tc>
          <w:tcPr>
            <w:tcW w:w="921" w:type="dxa"/>
          </w:tcPr>
          <w:p w:rsidR="00877038" w:rsidRPr="00877038" w:rsidDel="00976B9A" w:rsidRDefault="00877038" w:rsidP="00115C45">
            <w:pPr>
              <w:spacing w:line="259" w:lineRule="auto"/>
              <w:jc w:val="both"/>
              <w:rPr>
                <w:rFonts w:eastAsia="Calibri" w:cs="Arial"/>
                <w:szCs w:val="24"/>
              </w:rPr>
            </w:pPr>
            <w:r w:rsidRPr="00877038">
              <w:rPr>
                <w:rFonts w:eastAsia="Calibri" w:cs="Arial"/>
                <w:szCs w:val="24"/>
              </w:rPr>
              <w:t>LA</w:t>
            </w:r>
          </w:p>
        </w:tc>
        <w:tc>
          <w:tcPr>
            <w:tcW w:w="1488"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5,889</w:t>
            </w:r>
          </w:p>
        </w:tc>
        <w:tc>
          <w:tcPr>
            <w:tcW w:w="1276"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6,112</w:t>
            </w:r>
          </w:p>
        </w:tc>
      </w:tr>
      <w:tr w:rsidR="00877038" w:rsidRPr="00877038" w:rsidTr="00491D94">
        <w:tc>
          <w:tcPr>
            <w:tcW w:w="4503" w:type="dxa"/>
            <w:shd w:val="clear" w:color="auto" w:fill="auto"/>
          </w:tcPr>
          <w:p w:rsidR="00877038" w:rsidRPr="00877038" w:rsidRDefault="00877038" w:rsidP="00115C45">
            <w:pPr>
              <w:spacing w:line="259" w:lineRule="auto"/>
              <w:jc w:val="both"/>
              <w:rPr>
                <w:rFonts w:eastAsia="Calibri" w:cs="Arial"/>
                <w:szCs w:val="24"/>
              </w:rPr>
            </w:pPr>
            <w:proofErr w:type="spellStart"/>
            <w:r w:rsidRPr="00877038">
              <w:rPr>
                <w:rFonts w:eastAsia="Calibri" w:cs="Arial"/>
                <w:szCs w:val="24"/>
              </w:rPr>
              <w:t>iBCF</w:t>
            </w:r>
            <w:proofErr w:type="spellEnd"/>
          </w:p>
        </w:tc>
        <w:tc>
          <w:tcPr>
            <w:tcW w:w="921" w:type="dxa"/>
          </w:tcPr>
          <w:p w:rsidR="00877038" w:rsidRPr="00877038" w:rsidDel="00976B9A" w:rsidRDefault="00877038" w:rsidP="00115C45">
            <w:pPr>
              <w:spacing w:line="259" w:lineRule="auto"/>
              <w:jc w:val="both"/>
              <w:rPr>
                <w:rFonts w:eastAsia="Calibri" w:cs="Arial"/>
                <w:szCs w:val="24"/>
              </w:rPr>
            </w:pPr>
            <w:r w:rsidRPr="00877038">
              <w:rPr>
                <w:rFonts w:eastAsia="Calibri" w:cs="Arial"/>
                <w:szCs w:val="24"/>
              </w:rPr>
              <w:t>LA</w:t>
            </w:r>
          </w:p>
        </w:tc>
        <w:tc>
          <w:tcPr>
            <w:tcW w:w="1488"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4,643</w:t>
            </w:r>
          </w:p>
        </w:tc>
        <w:tc>
          <w:tcPr>
            <w:tcW w:w="1276"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5,498</w:t>
            </w:r>
          </w:p>
        </w:tc>
      </w:tr>
      <w:tr w:rsidR="00877038" w:rsidRPr="00877038" w:rsidTr="00491D94">
        <w:tc>
          <w:tcPr>
            <w:tcW w:w="4503"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Winter Pressures</w:t>
            </w:r>
          </w:p>
        </w:tc>
        <w:tc>
          <w:tcPr>
            <w:tcW w:w="921" w:type="dxa"/>
          </w:tcPr>
          <w:p w:rsidR="00877038" w:rsidRPr="00877038" w:rsidRDefault="00877038" w:rsidP="00115C45">
            <w:pPr>
              <w:spacing w:line="259" w:lineRule="auto"/>
              <w:jc w:val="both"/>
              <w:rPr>
                <w:rFonts w:eastAsia="Calibri" w:cs="Arial"/>
                <w:szCs w:val="24"/>
              </w:rPr>
            </w:pPr>
            <w:r w:rsidRPr="00877038">
              <w:rPr>
                <w:rFonts w:eastAsia="Calibri" w:cs="Arial"/>
                <w:szCs w:val="24"/>
              </w:rPr>
              <w:t>LA</w:t>
            </w:r>
          </w:p>
        </w:tc>
        <w:tc>
          <w:tcPr>
            <w:tcW w:w="1488"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970</w:t>
            </w:r>
          </w:p>
        </w:tc>
        <w:tc>
          <w:tcPr>
            <w:tcW w:w="1276"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970</w:t>
            </w:r>
          </w:p>
        </w:tc>
      </w:tr>
      <w:tr w:rsidR="00877038" w:rsidRPr="00877038" w:rsidTr="00491D94">
        <w:tc>
          <w:tcPr>
            <w:tcW w:w="4503"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Disabled Facilities Grants</w:t>
            </w:r>
          </w:p>
        </w:tc>
        <w:tc>
          <w:tcPr>
            <w:tcW w:w="921" w:type="dxa"/>
          </w:tcPr>
          <w:p w:rsidR="00877038" w:rsidRPr="00877038" w:rsidRDefault="00877038" w:rsidP="00115C45">
            <w:pPr>
              <w:spacing w:line="259" w:lineRule="auto"/>
              <w:jc w:val="both"/>
              <w:rPr>
                <w:rFonts w:eastAsia="Calibri" w:cs="Arial"/>
                <w:szCs w:val="24"/>
              </w:rPr>
            </w:pPr>
            <w:r w:rsidRPr="00877038">
              <w:rPr>
                <w:rFonts w:eastAsia="Calibri" w:cs="Arial"/>
                <w:szCs w:val="24"/>
              </w:rPr>
              <w:t>LA</w:t>
            </w:r>
          </w:p>
        </w:tc>
        <w:tc>
          <w:tcPr>
            <w:tcW w:w="1488"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1,406</w:t>
            </w:r>
          </w:p>
        </w:tc>
        <w:tc>
          <w:tcPr>
            <w:tcW w:w="1276" w:type="dxa"/>
            <w:shd w:val="clear" w:color="auto" w:fill="auto"/>
          </w:tcPr>
          <w:p w:rsidR="00877038" w:rsidRPr="00877038" w:rsidRDefault="00877038" w:rsidP="00115C45">
            <w:pPr>
              <w:spacing w:line="259" w:lineRule="auto"/>
              <w:jc w:val="both"/>
              <w:rPr>
                <w:rFonts w:eastAsia="Calibri" w:cs="Arial"/>
                <w:szCs w:val="24"/>
              </w:rPr>
            </w:pPr>
            <w:r w:rsidRPr="00877038">
              <w:rPr>
                <w:rFonts w:eastAsia="Calibri" w:cs="Arial"/>
                <w:szCs w:val="24"/>
              </w:rPr>
              <w:t>1,517</w:t>
            </w:r>
          </w:p>
        </w:tc>
      </w:tr>
      <w:tr w:rsidR="00877038" w:rsidRPr="00877038" w:rsidTr="00491D94">
        <w:tc>
          <w:tcPr>
            <w:tcW w:w="5424" w:type="dxa"/>
            <w:gridSpan w:val="2"/>
            <w:shd w:val="clear" w:color="auto" w:fill="auto"/>
          </w:tcPr>
          <w:p w:rsidR="00877038" w:rsidRPr="00877038" w:rsidDel="00976B9A" w:rsidRDefault="00877038" w:rsidP="00115C45">
            <w:pPr>
              <w:spacing w:line="259" w:lineRule="auto"/>
              <w:jc w:val="both"/>
              <w:rPr>
                <w:rFonts w:eastAsia="Calibri" w:cs="Arial"/>
                <w:b/>
                <w:szCs w:val="24"/>
              </w:rPr>
            </w:pPr>
            <w:r w:rsidRPr="00877038">
              <w:rPr>
                <w:rFonts w:eastAsia="Calibri" w:cs="Arial"/>
                <w:b/>
                <w:szCs w:val="24"/>
              </w:rPr>
              <w:t>TOTAL BCF Plan</w:t>
            </w:r>
          </w:p>
        </w:tc>
        <w:tc>
          <w:tcPr>
            <w:tcW w:w="1488" w:type="dxa"/>
            <w:shd w:val="clear" w:color="auto" w:fill="auto"/>
          </w:tcPr>
          <w:p w:rsidR="00877038" w:rsidRPr="00877038" w:rsidRDefault="00877038" w:rsidP="00115C45">
            <w:pPr>
              <w:spacing w:line="259" w:lineRule="auto"/>
              <w:jc w:val="both"/>
              <w:rPr>
                <w:rFonts w:eastAsia="Calibri" w:cs="Arial"/>
                <w:b/>
                <w:szCs w:val="24"/>
              </w:rPr>
            </w:pPr>
            <w:r w:rsidRPr="00877038">
              <w:rPr>
                <w:rFonts w:eastAsia="Calibri" w:cs="Arial"/>
                <w:b/>
                <w:szCs w:val="24"/>
              </w:rPr>
              <w:t>23,049</w:t>
            </w:r>
          </w:p>
        </w:tc>
        <w:tc>
          <w:tcPr>
            <w:tcW w:w="1276" w:type="dxa"/>
            <w:shd w:val="clear" w:color="auto" w:fill="auto"/>
          </w:tcPr>
          <w:p w:rsidR="00877038" w:rsidRPr="00877038" w:rsidRDefault="00877038" w:rsidP="00115C45">
            <w:pPr>
              <w:spacing w:line="259" w:lineRule="auto"/>
              <w:jc w:val="both"/>
              <w:rPr>
                <w:rFonts w:eastAsia="Calibri" w:cs="Arial"/>
                <w:b/>
                <w:szCs w:val="24"/>
              </w:rPr>
            </w:pPr>
            <w:r w:rsidRPr="00877038">
              <w:rPr>
                <w:rFonts w:eastAsia="Calibri" w:cs="Arial"/>
                <w:b/>
                <w:szCs w:val="24"/>
              </w:rPr>
              <w:t>24,022</w:t>
            </w:r>
          </w:p>
        </w:tc>
      </w:tr>
    </w:tbl>
    <w:p w:rsidR="00877038" w:rsidRPr="00877038" w:rsidRDefault="00877038" w:rsidP="00115C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233"/>
      </w:tblGrid>
      <w:tr w:rsidR="00877038" w:rsidRPr="00877038" w:rsidTr="00491D94">
        <w:tc>
          <w:tcPr>
            <w:tcW w:w="4262" w:type="dxa"/>
            <w:shd w:val="clear" w:color="auto" w:fill="auto"/>
          </w:tcPr>
          <w:p w:rsidR="00877038" w:rsidRPr="00877038" w:rsidRDefault="00877038" w:rsidP="00115C45">
            <w:pPr>
              <w:jc w:val="both"/>
              <w:rPr>
                <w:rFonts w:eastAsia="Calibri" w:cs="Arial"/>
                <w:b/>
                <w:sz w:val="22"/>
                <w:szCs w:val="24"/>
                <w:lang w:val="en-US"/>
              </w:rPr>
            </w:pPr>
            <w:r w:rsidRPr="00877038">
              <w:rPr>
                <w:rFonts w:eastAsia="Calibri" w:cs="Arial"/>
                <w:b/>
                <w:sz w:val="22"/>
                <w:szCs w:val="24"/>
                <w:lang w:val="en-US"/>
              </w:rPr>
              <w:t>Funded by:</w:t>
            </w:r>
          </w:p>
        </w:tc>
        <w:tc>
          <w:tcPr>
            <w:tcW w:w="1233" w:type="dxa"/>
            <w:shd w:val="clear" w:color="auto" w:fill="auto"/>
          </w:tcPr>
          <w:p w:rsidR="00877038" w:rsidRPr="00877038" w:rsidRDefault="00877038" w:rsidP="00115C45">
            <w:pPr>
              <w:jc w:val="both"/>
              <w:rPr>
                <w:rFonts w:eastAsia="Calibri" w:cs="Arial"/>
                <w:b/>
                <w:sz w:val="22"/>
                <w:szCs w:val="24"/>
                <w:lang w:val="en-US"/>
              </w:rPr>
            </w:pPr>
            <w:r w:rsidRPr="00877038">
              <w:rPr>
                <w:rFonts w:eastAsia="Calibri" w:cs="Arial"/>
                <w:b/>
                <w:sz w:val="22"/>
                <w:szCs w:val="24"/>
                <w:lang w:val="en-US"/>
              </w:rPr>
              <w:t>2019-20</w:t>
            </w:r>
          </w:p>
          <w:p w:rsidR="00877038" w:rsidRPr="00877038" w:rsidRDefault="00877038" w:rsidP="00115C45">
            <w:pPr>
              <w:jc w:val="both"/>
              <w:rPr>
                <w:rFonts w:eastAsia="Calibri" w:cs="Arial"/>
                <w:b/>
                <w:sz w:val="22"/>
                <w:szCs w:val="24"/>
                <w:lang w:val="en-US"/>
              </w:rPr>
            </w:pPr>
            <w:r w:rsidRPr="00877038">
              <w:rPr>
                <w:rFonts w:eastAsia="Calibri" w:cs="Arial"/>
                <w:b/>
                <w:sz w:val="22"/>
                <w:szCs w:val="24"/>
                <w:lang w:val="en-US"/>
              </w:rPr>
              <w:t>£000</w:t>
            </w:r>
          </w:p>
        </w:tc>
      </w:tr>
      <w:tr w:rsidR="00877038" w:rsidRPr="00877038" w:rsidTr="00491D94">
        <w:tc>
          <w:tcPr>
            <w:tcW w:w="4262" w:type="dxa"/>
            <w:shd w:val="clear" w:color="auto" w:fill="auto"/>
          </w:tcPr>
          <w:p w:rsidR="00877038" w:rsidRPr="00877038" w:rsidRDefault="00877038" w:rsidP="00115C45">
            <w:pPr>
              <w:jc w:val="both"/>
              <w:rPr>
                <w:rFonts w:eastAsia="Calibri" w:cs="Arial"/>
                <w:sz w:val="22"/>
                <w:szCs w:val="24"/>
                <w:lang w:val="en-US"/>
              </w:rPr>
            </w:pPr>
            <w:r w:rsidRPr="00877038">
              <w:rPr>
                <w:rFonts w:eastAsia="Calibri" w:cs="Arial"/>
                <w:sz w:val="22"/>
                <w:szCs w:val="24"/>
                <w:lang w:val="en-US"/>
              </w:rPr>
              <w:t>CCG Contribution</w:t>
            </w:r>
          </w:p>
        </w:tc>
        <w:tc>
          <w:tcPr>
            <w:tcW w:w="1233" w:type="dxa"/>
            <w:shd w:val="clear" w:color="auto" w:fill="auto"/>
          </w:tcPr>
          <w:p w:rsidR="00877038" w:rsidRPr="00877038" w:rsidRDefault="00877038" w:rsidP="00115C45">
            <w:pPr>
              <w:jc w:val="both"/>
              <w:rPr>
                <w:rFonts w:eastAsia="Calibri" w:cs="Arial"/>
                <w:sz w:val="22"/>
                <w:szCs w:val="24"/>
                <w:lang w:val="en-US"/>
              </w:rPr>
            </w:pPr>
            <w:r w:rsidRPr="00877038">
              <w:rPr>
                <w:rFonts w:eastAsia="Calibri" w:cs="Arial"/>
                <w:sz w:val="22"/>
                <w:szCs w:val="24"/>
                <w:lang w:val="en-US"/>
              </w:rPr>
              <w:t>16,037</w:t>
            </w:r>
          </w:p>
        </w:tc>
      </w:tr>
      <w:tr w:rsidR="00877038" w:rsidRPr="00877038" w:rsidTr="00491D94">
        <w:tc>
          <w:tcPr>
            <w:tcW w:w="4262" w:type="dxa"/>
            <w:shd w:val="clear" w:color="auto" w:fill="auto"/>
          </w:tcPr>
          <w:p w:rsidR="00877038" w:rsidRPr="00877038" w:rsidRDefault="00877038" w:rsidP="00115C45">
            <w:pPr>
              <w:jc w:val="both"/>
              <w:rPr>
                <w:rFonts w:eastAsia="Calibri" w:cs="Arial"/>
                <w:sz w:val="22"/>
                <w:szCs w:val="24"/>
                <w:lang w:val="en-US"/>
              </w:rPr>
            </w:pPr>
            <w:r w:rsidRPr="00877038">
              <w:rPr>
                <w:rFonts w:eastAsia="Calibri" w:cs="Arial"/>
                <w:sz w:val="22"/>
                <w:szCs w:val="24"/>
                <w:lang w:val="en-US"/>
              </w:rPr>
              <w:t>LA Grants</w:t>
            </w:r>
          </w:p>
        </w:tc>
        <w:tc>
          <w:tcPr>
            <w:tcW w:w="1233" w:type="dxa"/>
            <w:shd w:val="clear" w:color="auto" w:fill="auto"/>
          </w:tcPr>
          <w:p w:rsidR="00877038" w:rsidRPr="00877038" w:rsidRDefault="00877038" w:rsidP="00115C45">
            <w:pPr>
              <w:jc w:val="both"/>
              <w:rPr>
                <w:rFonts w:eastAsia="Calibri" w:cs="Arial"/>
                <w:sz w:val="22"/>
                <w:szCs w:val="24"/>
                <w:lang w:val="en-US"/>
              </w:rPr>
            </w:pPr>
            <w:r w:rsidRPr="00877038">
              <w:rPr>
                <w:rFonts w:eastAsia="Calibri" w:cs="Arial"/>
                <w:sz w:val="22"/>
                <w:szCs w:val="24"/>
                <w:lang w:val="en-US"/>
              </w:rPr>
              <w:t>7,985</w:t>
            </w:r>
          </w:p>
        </w:tc>
      </w:tr>
      <w:tr w:rsidR="00877038" w:rsidRPr="00877038" w:rsidTr="00491D94">
        <w:tc>
          <w:tcPr>
            <w:tcW w:w="4262" w:type="dxa"/>
            <w:shd w:val="clear" w:color="auto" w:fill="auto"/>
          </w:tcPr>
          <w:p w:rsidR="00877038" w:rsidRPr="00877038" w:rsidRDefault="00877038" w:rsidP="00115C45">
            <w:pPr>
              <w:jc w:val="both"/>
              <w:rPr>
                <w:rFonts w:eastAsia="Calibri" w:cs="Arial"/>
                <w:sz w:val="22"/>
                <w:szCs w:val="24"/>
                <w:lang w:val="en-US"/>
              </w:rPr>
            </w:pPr>
            <w:r w:rsidRPr="00877038">
              <w:rPr>
                <w:rFonts w:eastAsia="Calibri" w:cs="Arial"/>
                <w:sz w:val="22"/>
                <w:szCs w:val="24"/>
                <w:lang w:val="en-US"/>
              </w:rPr>
              <w:t>Total</w:t>
            </w:r>
          </w:p>
        </w:tc>
        <w:tc>
          <w:tcPr>
            <w:tcW w:w="1233" w:type="dxa"/>
            <w:shd w:val="clear" w:color="auto" w:fill="auto"/>
          </w:tcPr>
          <w:p w:rsidR="00877038" w:rsidRPr="00877038" w:rsidRDefault="00877038" w:rsidP="00115C45">
            <w:pPr>
              <w:jc w:val="both"/>
              <w:rPr>
                <w:rFonts w:eastAsia="Calibri" w:cs="Arial"/>
                <w:sz w:val="22"/>
                <w:szCs w:val="24"/>
                <w:lang w:val="en-US"/>
              </w:rPr>
            </w:pPr>
            <w:r w:rsidRPr="00877038">
              <w:rPr>
                <w:rFonts w:eastAsia="Calibri" w:cs="Arial"/>
                <w:sz w:val="22"/>
                <w:szCs w:val="24"/>
                <w:lang w:val="en-US"/>
              </w:rPr>
              <w:t>24,022</w:t>
            </w:r>
          </w:p>
        </w:tc>
      </w:tr>
    </w:tbl>
    <w:p w:rsidR="00877038" w:rsidRPr="00877038" w:rsidRDefault="00877038" w:rsidP="00115C45">
      <w:pPr>
        <w:jc w:val="both"/>
        <w:rPr>
          <w:rFonts w:cs="Arial"/>
          <w:szCs w:val="24"/>
          <w:lang w:val="en-US"/>
        </w:rPr>
      </w:pPr>
    </w:p>
    <w:p w:rsidR="00877038" w:rsidRPr="00877038" w:rsidRDefault="00877038" w:rsidP="00115C45">
      <w:pPr>
        <w:jc w:val="both"/>
        <w:rPr>
          <w:rFonts w:cs="Arial"/>
          <w:b/>
          <w:szCs w:val="24"/>
          <w:lang w:val="en-US"/>
        </w:rPr>
      </w:pPr>
    </w:p>
    <w:p w:rsidR="00877038" w:rsidRPr="00877038" w:rsidRDefault="00877038" w:rsidP="00115C45">
      <w:pPr>
        <w:jc w:val="both"/>
        <w:rPr>
          <w:rFonts w:cs="Arial"/>
          <w:b/>
          <w:szCs w:val="24"/>
          <w:lang w:val="en-US"/>
        </w:rPr>
      </w:pPr>
      <w:r w:rsidRPr="00877038">
        <w:rPr>
          <w:rFonts w:cs="Arial"/>
          <w:b/>
          <w:szCs w:val="24"/>
          <w:lang w:val="en-US"/>
        </w:rPr>
        <w:t>BCF Planning &amp; Assurance Timetable</w:t>
      </w:r>
    </w:p>
    <w:p w:rsidR="00877038" w:rsidRPr="00877038" w:rsidRDefault="00877038" w:rsidP="00115C45">
      <w:pPr>
        <w:jc w:val="both"/>
        <w:outlineLvl w:val="1"/>
        <w:rPr>
          <w:rFonts w:cs="Arial"/>
          <w:b/>
          <w:bCs/>
          <w:sz w:val="28"/>
          <w:szCs w:val="32"/>
        </w:rPr>
      </w:pPr>
      <w:r w:rsidRPr="00877038">
        <w:rPr>
          <w:rFonts w:cs="Arial"/>
          <w:bCs/>
          <w:szCs w:val="24"/>
        </w:rPr>
        <w:t>The submission and assurance process will follow the timetable below:</w:t>
      </w:r>
    </w:p>
    <w:p w:rsidR="00877038" w:rsidRPr="00877038" w:rsidRDefault="00877038" w:rsidP="00115C45">
      <w:pPr>
        <w:jc w:val="both"/>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225"/>
      </w:tblGrid>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b/>
                <w:color w:val="000000"/>
                <w:szCs w:val="24"/>
              </w:rPr>
            </w:pPr>
            <w:r w:rsidRPr="00877038">
              <w:rPr>
                <w:rFonts w:eastAsia="Calibri" w:cs="Arial"/>
                <w:b/>
                <w:color w:val="000000"/>
                <w:szCs w:val="24"/>
              </w:rPr>
              <w:t>Action</w:t>
            </w:r>
          </w:p>
        </w:tc>
        <w:tc>
          <w:tcPr>
            <w:tcW w:w="2225" w:type="dxa"/>
            <w:shd w:val="clear" w:color="auto" w:fill="auto"/>
          </w:tcPr>
          <w:p w:rsidR="00877038" w:rsidRPr="00877038" w:rsidRDefault="00877038" w:rsidP="00877038">
            <w:pPr>
              <w:autoSpaceDE w:val="0"/>
              <w:autoSpaceDN w:val="0"/>
              <w:adjustRightInd w:val="0"/>
              <w:rPr>
                <w:rFonts w:eastAsia="Calibri" w:cs="Arial"/>
                <w:b/>
                <w:color w:val="000000"/>
                <w:szCs w:val="24"/>
              </w:rPr>
            </w:pPr>
            <w:r w:rsidRPr="00877038">
              <w:rPr>
                <w:rFonts w:eastAsia="Calibri" w:cs="Arial"/>
                <w:b/>
                <w:color w:val="000000"/>
                <w:szCs w:val="24"/>
              </w:rPr>
              <w:t>Date</w:t>
            </w:r>
          </w:p>
        </w:tc>
      </w:tr>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BCF planning submission from local Health and Wellbeing Board areas (agreed by CCGs and local government). All submissions will need to be sent to the local BCM, and copied to  </w:t>
            </w:r>
            <w:hyperlink r:id="rId9" w:history="1">
              <w:r w:rsidRPr="00877038">
                <w:rPr>
                  <w:rFonts w:eastAsia="Calibri" w:cs="Arial"/>
                  <w:color w:val="0000FF"/>
                  <w:szCs w:val="24"/>
                  <w:u w:val="single"/>
                </w:rPr>
                <w:t>england.bettercaresupport@nhs.net</w:t>
              </w:r>
            </w:hyperlink>
            <w:r w:rsidRPr="00877038">
              <w:rPr>
                <w:rFonts w:eastAsia="Calibri" w:cs="Arial"/>
                <w:color w:val="000000"/>
                <w:szCs w:val="24"/>
              </w:rPr>
              <w:t xml:space="preserve"> </w:t>
            </w:r>
          </w:p>
          <w:p w:rsidR="00877038" w:rsidRPr="00877038" w:rsidRDefault="00877038" w:rsidP="00877038">
            <w:pPr>
              <w:spacing w:line="276" w:lineRule="auto"/>
              <w:rPr>
                <w:rFonts w:eastAsia="Calibri"/>
                <w:szCs w:val="24"/>
              </w:rPr>
            </w:pPr>
          </w:p>
        </w:tc>
        <w:tc>
          <w:tcPr>
            <w:tcW w:w="2225"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By 27 September </w:t>
            </w:r>
          </w:p>
          <w:p w:rsidR="00877038" w:rsidRPr="00877038" w:rsidRDefault="00877038" w:rsidP="00877038">
            <w:pPr>
              <w:spacing w:line="276" w:lineRule="auto"/>
              <w:rPr>
                <w:rFonts w:eastAsia="Calibri"/>
                <w:szCs w:val="24"/>
              </w:rPr>
            </w:pPr>
          </w:p>
        </w:tc>
      </w:tr>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lastRenderedPageBreak/>
              <w:t xml:space="preserve">Scrutiny of BCF plans by regional assurers, assurance panel meetings, and regional moderation </w:t>
            </w:r>
          </w:p>
          <w:p w:rsidR="00877038" w:rsidRPr="00877038" w:rsidRDefault="00877038" w:rsidP="00877038">
            <w:pPr>
              <w:spacing w:line="276" w:lineRule="auto"/>
              <w:rPr>
                <w:rFonts w:eastAsia="Calibri"/>
                <w:szCs w:val="24"/>
              </w:rPr>
            </w:pPr>
          </w:p>
        </w:tc>
        <w:tc>
          <w:tcPr>
            <w:tcW w:w="2225"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By 30 October </w:t>
            </w:r>
          </w:p>
          <w:p w:rsidR="00877038" w:rsidRPr="00877038" w:rsidRDefault="00877038" w:rsidP="00877038">
            <w:pPr>
              <w:spacing w:line="276" w:lineRule="auto"/>
              <w:rPr>
                <w:rFonts w:eastAsia="Calibri"/>
                <w:szCs w:val="24"/>
              </w:rPr>
            </w:pPr>
          </w:p>
        </w:tc>
      </w:tr>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Regionally moderated assurance outcomes sent to BCST </w:t>
            </w:r>
          </w:p>
          <w:p w:rsidR="00877038" w:rsidRPr="00877038" w:rsidRDefault="00877038" w:rsidP="00877038">
            <w:pPr>
              <w:spacing w:line="276" w:lineRule="auto"/>
              <w:rPr>
                <w:rFonts w:eastAsia="Calibri"/>
                <w:szCs w:val="24"/>
              </w:rPr>
            </w:pPr>
          </w:p>
        </w:tc>
        <w:tc>
          <w:tcPr>
            <w:tcW w:w="2225"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By 30 October </w:t>
            </w:r>
          </w:p>
          <w:p w:rsidR="00877038" w:rsidRPr="00877038" w:rsidRDefault="00877038" w:rsidP="00877038">
            <w:pPr>
              <w:spacing w:line="276" w:lineRule="auto"/>
              <w:rPr>
                <w:rFonts w:eastAsia="Calibri"/>
                <w:szCs w:val="24"/>
              </w:rPr>
            </w:pPr>
          </w:p>
        </w:tc>
      </w:tr>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Cross regional calibration </w:t>
            </w:r>
          </w:p>
          <w:p w:rsidR="00877038" w:rsidRPr="00877038" w:rsidRDefault="00877038" w:rsidP="00877038">
            <w:pPr>
              <w:spacing w:line="276" w:lineRule="auto"/>
              <w:rPr>
                <w:rFonts w:eastAsia="Calibri"/>
                <w:szCs w:val="24"/>
              </w:rPr>
            </w:pPr>
          </w:p>
        </w:tc>
        <w:tc>
          <w:tcPr>
            <w:tcW w:w="2225"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By 5 November </w:t>
            </w:r>
          </w:p>
          <w:p w:rsidR="00877038" w:rsidRPr="00877038" w:rsidRDefault="00877038" w:rsidP="00877038">
            <w:pPr>
              <w:spacing w:line="276" w:lineRule="auto"/>
              <w:rPr>
                <w:rFonts w:eastAsia="Calibri"/>
                <w:szCs w:val="24"/>
              </w:rPr>
            </w:pPr>
          </w:p>
        </w:tc>
      </w:tr>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Assurance recommendations considered by Departments and NHSE </w:t>
            </w:r>
          </w:p>
          <w:p w:rsidR="00877038" w:rsidRPr="00877038" w:rsidRDefault="00877038" w:rsidP="00877038">
            <w:pPr>
              <w:spacing w:line="276" w:lineRule="auto"/>
              <w:rPr>
                <w:rFonts w:eastAsia="Calibri"/>
                <w:szCs w:val="24"/>
              </w:rPr>
            </w:pPr>
          </w:p>
        </w:tc>
        <w:tc>
          <w:tcPr>
            <w:tcW w:w="2225"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5 – 15 November </w:t>
            </w:r>
          </w:p>
          <w:p w:rsidR="00877038" w:rsidRPr="00877038" w:rsidRDefault="00877038" w:rsidP="00877038">
            <w:pPr>
              <w:spacing w:line="276" w:lineRule="auto"/>
              <w:rPr>
                <w:rFonts w:eastAsia="Calibri"/>
                <w:szCs w:val="24"/>
              </w:rPr>
            </w:pPr>
          </w:p>
        </w:tc>
      </w:tr>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Approval letters issued giving formal permission to spend (CCG minimum) </w:t>
            </w:r>
          </w:p>
          <w:p w:rsidR="00877038" w:rsidRPr="00877038" w:rsidRDefault="00877038" w:rsidP="00877038">
            <w:pPr>
              <w:spacing w:line="276" w:lineRule="auto"/>
              <w:rPr>
                <w:rFonts w:eastAsia="Calibri"/>
                <w:szCs w:val="24"/>
              </w:rPr>
            </w:pPr>
          </w:p>
        </w:tc>
        <w:tc>
          <w:tcPr>
            <w:tcW w:w="2225"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W/c 18 November </w:t>
            </w:r>
          </w:p>
          <w:p w:rsidR="00877038" w:rsidRPr="00877038" w:rsidRDefault="00877038" w:rsidP="00877038">
            <w:pPr>
              <w:spacing w:line="276" w:lineRule="auto"/>
              <w:rPr>
                <w:rFonts w:eastAsia="Calibri"/>
                <w:szCs w:val="24"/>
              </w:rPr>
            </w:pPr>
          </w:p>
        </w:tc>
      </w:tr>
      <w:tr w:rsidR="00877038" w:rsidRPr="00877038" w:rsidTr="00491D94">
        <w:tc>
          <w:tcPr>
            <w:tcW w:w="6487" w:type="dxa"/>
            <w:shd w:val="clear" w:color="auto" w:fill="auto"/>
          </w:tcPr>
          <w:p w:rsidR="00877038" w:rsidRPr="00877038" w:rsidRDefault="00877038" w:rsidP="00877038">
            <w:pPr>
              <w:autoSpaceDE w:val="0"/>
              <w:autoSpaceDN w:val="0"/>
              <w:adjustRightInd w:val="0"/>
              <w:rPr>
                <w:rFonts w:eastAsia="Calibri" w:cs="Arial"/>
                <w:color w:val="000000"/>
                <w:szCs w:val="24"/>
              </w:rPr>
            </w:pPr>
            <w:r w:rsidRPr="00877038">
              <w:rPr>
                <w:rFonts w:eastAsia="Calibri" w:cs="Arial"/>
                <w:color w:val="000000"/>
                <w:szCs w:val="24"/>
              </w:rPr>
              <w:t xml:space="preserve">All Section 75 agreements to be signed and in place </w:t>
            </w:r>
          </w:p>
          <w:p w:rsidR="00877038" w:rsidRPr="00877038" w:rsidRDefault="00877038" w:rsidP="00877038">
            <w:pPr>
              <w:spacing w:line="276" w:lineRule="auto"/>
              <w:rPr>
                <w:rFonts w:eastAsia="Calibri"/>
                <w:szCs w:val="24"/>
              </w:rPr>
            </w:pPr>
          </w:p>
        </w:tc>
        <w:tc>
          <w:tcPr>
            <w:tcW w:w="2225" w:type="dxa"/>
            <w:shd w:val="clear" w:color="auto" w:fill="auto"/>
          </w:tcPr>
          <w:p w:rsidR="00877038" w:rsidRPr="00877038" w:rsidRDefault="00877038" w:rsidP="00877038">
            <w:pPr>
              <w:spacing w:line="276" w:lineRule="auto"/>
              <w:rPr>
                <w:rFonts w:eastAsia="Calibri"/>
                <w:szCs w:val="24"/>
              </w:rPr>
            </w:pPr>
            <w:r w:rsidRPr="00877038">
              <w:rPr>
                <w:rFonts w:eastAsia="Calibri"/>
                <w:szCs w:val="24"/>
              </w:rPr>
              <w:t>By 15 December</w:t>
            </w:r>
          </w:p>
        </w:tc>
      </w:tr>
    </w:tbl>
    <w:p w:rsidR="00877038" w:rsidRPr="00877038" w:rsidRDefault="00877038" w:rsidP="00877038">
      <w:pPr>
        <w:spacing w:line="276" w:lineRule="auto"/>
      </w:pPr>
    </w:p>
    <w:p w:rsidR="00877038" w:rsidRPr="00877038" w:rsidRDefault="00877038" w:rsidP="00877038"/>
    <w:p w:rsidR="00877038" w:rsidRPr="00877038" w:rsidRDefault="00877038" w:rsidP="00877038">
      <w:pPr>
        <w:outlineLvl w:val="1"/>
        <w:rPr>
          <w:rFonts w:cs="Arial"/>
          <w:b/>
          <w:bCs/>
          <w:sz w:val="28"/>
          <w:szCs w:val="32"/>
        </w:rPr>
      </w:pPr>
      <w:r w:rsidRPr="00877038">
        <w:rPr>
          <w:rFonts w:cs="Arial"/>
          <w:b/>
          <w:bCs/>
          <w:sz w:val="28"/>
          <w:szCs w:val="32"/>
        </w:rPr>
        <w:t>Further Actions</w:t>
      </w:r>
    </w:p>
    <w:p w:rsidR="00877038" w:rsidRPr="00877038" w:rsidRDefault="00877038" w:rsidP="00877038">
      <w:pPr>
        <w:rPr>
          <w:rFonts w:eastAsia="Calibri" w:cs="Arial"/>
          <w:szCs w:val="24"/>
          <w:lang w:eastAsia="en-GB"/>
        </w:rPr>
      </w:pPr>
      <w:r w:rsidRPr="00877038">
        <w:rPr>
          <w:rFonts w:eastAsia="Calibri" w:cs="Arial"/>
          <w:szCs w:val="24"/>
          <w:lang w:eastAsia="en-GB"/>
        </w:rPr>
        <w:t>Recognising the financial challenges of the health and social care economy both organisations are committed to meeting on a bi-monthly basis to review the BCF expenditure, activity and impact on outcomes across the partnership.  This will enable consideration of further investment, particularly to support patients being managed safely out of the acute hospital setting, should additional resources become available.</w:t>
      </w:r>
    </w:p>
    <w:p w:rsidR="00877038" w:rsidRPr="00877038" w:rsidRDefault="00877038" w:rsidP="00877038">
      <w:pPr>
        <w:rPr>
          <w:rFonts w:eastAsia="Calibri" w:cs="Arial"/>
          <w:szCs w:val="24"/>
          <w:lang w:eastAsia="en-GB"/>
        </w:rPr>
      </w:pPr>
    </w:p>
    <w:p w:rsidR="00877038" w:rsidRPr="00877038" w:rsidRDefault="00877038" w:rsidP="00877038">
      <w:r w:rsidRPr="00877038">
        <w:rPr>
          <w:rFonts w:cs="Arial"/>
        </w:rPr>
        <w:t xml:space="preserve">As a result, the revenue proposals indicate the minimum contributions for 2019-20 (uplifted in line with the planning guidance).  </w:t>
      </w:r>
    </w:p>
    <w:p w:rsidR="00877038" w:rsidRDefault="00877038" w:rsidP="00877038"/>
    <w:p w:rsidR="00877038" w:rsidRDefault="00877038" w:rsidP="00877038"/>
    <w:p w:rsidR="00877038" w:rsidRDefault="00877038" w:rsidP="00877038">
      <w:pPr>
        <w:rPr>
          <w:b/>
          <w:sz w:val="28"/>
          <w:szCs w:val="28"/>
        </w:rPr>
      </w:pPr>
      <w:r w:rsidRPr="00877038">
        <w:rPr>
          <w:b/>
          <w:sz w:val="28"/>
          <w:szCs w:val="28"/>
        </w:rPr>
        <w:t>Ward Councillors’ comments</w:t>
      </w:r>
    </w:p>
    <w:p w:rsidR="00115C45" w:rsidRPr="00115C45" w:rsidRDefault="00115C45" w:rsidP="00877038">
      <w:pPr>
        <w:rPr>
          <w:sz w:val="28"/>
          <w:szCs w:val="28"/>
        </w:rPr>
      </w:pPr>
      <w:r>
        <w:rPr>
          <w:sz w:val="28"/>
          <w:szCs w:val="28"/>
        </w:rPr>
        <w:t>None</w:t>
      </w:r>
    </w:p>
    <w:p w:rsidR="00877038" w:rsidRDefault="00877038" w:rsidP="00877038"/>
    <w:p w:rsidR="00877038" w:rsidRPr="00877038" w:rsidRDefault="00877038" w:rsidP="00877038"/>
    <w:p w:rsidR="00877038" w:rsidRPr="00877038" w:rsidRDefault="00877038" w:rsidP="00877038">
      <w:pPr>
        <w:outlineLvl w:val="1"/>
        <w:rPr>
          <w:rFonts w:cs="Arial"/>
          <w:b/>
          <w:bCs/>
          <w:sz w:val="28"/>
          <w:szCs w:val="32"/>
        </w:rPr>
      </w:pPr>
      <w:r w:rsidRPr="00877038">
        <w:rPr>
          <w:rFonts w:cs="Arial"/>
          <w:b/>
          <w:bCs/>
          <w:sz w:val="28"/>
          <w:szCs w:val="32"/>
        </w:rPr>
        <w:t xml:space="preserve">Financial Implications </w:t>
      </w:r>
    </w:p>
    <w:p w:rsidR="00303534" w:rsidRPr="00303534" w:rsidRDefault="00877038" w:rsidP="00303534">
      <w:pPr>
        <w:rPr>
          <w:rFonts w:cs="Arial"/>
          <w:szCs w:val="24"/>
          <w:lang w:eastAsia="en-GB"/>
        </w:rPr>
      </w:pPr>
      <w:r w:rsidRPr="00877038">
        <w:rPr>
          <w:rFonts w:cs="Arial"/>
          <w:color w:val="000000"/>
          <w:szCs w:val="24"/>
          <w:lang w:eastAsia="en-GB"/>
        </w:rPr>
        <w:t>The national picture for public sector finances continues to remain complex and challenging</w:t>
      </w:r>
      <w:r w:rsidR="00303534">
        <w:rPr>
          <w:rFonts w:cs="Arial"/>
          <w:color w:val="000000"/>
          <w:szCs w:val="24"/>
          <w:lang w:eastAsia="en-GB"/>
        </w:rPr>
        <w:t xml:space="preserve">.  </w:t>
      </w:r>
      <w:r w:rsidR="00303534" w:rsidRPr="00303534">
        <w:rPr>
          <w:rFonts w:cs="Arial"/>
          <w:szCs w:val="24"/>
          <w:lang w:eastAsia="en-GB"/>
        </w:rPr>
        <w:t>The financial settlement, received on 4 September, is a revenue settlement for 20/21 only. Whilst the additional funding for social care in 20/21 is welcome, the future funding position for local government remains uncertain.</w:t>
      </w:r>
    </w:p>
    <w:p w:rsidR="00877038" w:rsidRPr="00877038" w:rsidRDefault="00877038" w:rsidP="00877038">
      <w:pPr>
        <w:autoSpaceDE w:val="0"/>
        <w:autoSpaceDN w:val="0"/>
        <w:adjustRightInd w:val="0"/>
        <w:rPr>
          <w:rFonts w:cs="Arial"/>
          <w:color w:val="000000"/>
          <w:szCs w:val="24"/>
          <w:lang w:eastAsia="en-GB"/>
        </w:rPr>
      </w:pPr>
    </w:p>
    <w:p w:rsidR="00877038" w:rsidRPr="00877038" w:rsidRDefault="00877038" w:rsidP="00877038">
      <w:pPr>
        <w:autoSpaceDE w:val="0"/>
        <w:autoSpaceDN w:val="0"/>
        <w:adjustRightInd w:val="0"/>
        <w:rPr>
          <w:rFonts w:cs="Arial"/>
          <w:color w:val="000000"/>
          <w:szCs w:val="24"/>
          <w:lang w:eastAsia="en-GB"/>
        </w:rPr>
      </w:pPr>
      <w:r w:rsidRPr="00877038">
        <w:rPr>
          <w:rFonts w:cs="Arial"/>
          <w:color w:val="000000"/>
          <w:szCs w:val="24"/>
          <w:lang w:eastAsia="en-GB"/>
        </w:rPr>
        <w:t xml:space="preserve">Whilst it is too early to confirm the exact impact for Harrow (across both health &amp; social care) the key headlines for both organisations are summarised below. </w:t>
      </w:r>
    </w:p>
    <w:p w:rsidR="00877038" w:rsidRPr="00877038" w:rsidRDefault="00877038" w:rsidP="00877038">
      <w:pPr>
        <w:autoSpaceDE w:val="0"/>
        <w:autoSpaceDN w:val="0"/>
        <w:adjustRightInd w:val="0"/>
        <w:rPr>
          <w:rFonts w:cs="Arial"/>
          <w:color w:val="000000"/>
          <w:szCs w:val="24"/>
          <w:lang w:eastAsia="en-GB"/>
        </w:rPr>
      </w:pPr>
    </w:p>
    <w:p w:rsidR="00877038" w:rsidRPr="00877038" w:rsidRDefault="00877038" w:rsidP="00877038">
      <w:pPr>
        <w:autoSpaceDE w:val="0"/>
        <w:autoSpaceDN w:val="0"/>
        <w:adjustRightInd w:val="0"/>
        <w:rPr>
          <w:rFonts w:cs="Arial"/>
          <w:color w:val="000000"/>
          <w:szCs w:val="24"/>
          <w:lang w:eastAsia="en-GB"/>
        </w:rPr>
      </w:pPr>
      <w:r w:rsidRPr="00877038">
        <w:rPr>
          <w:rFonts w:cs="Arial"/>
          <w:color w:val="000000"/>
          <w:szCs w:val="24"/>
          <w:lang w:eastAsia="en-GB"/>
        </w:rPr>
        <w:t xml:space="preserve"> </w:t>
      </w:r>
      <w:r w:rsidRPr="00877038">
        <w:rPr>
          <w:rFonts w:cs="Arial"/>
          <w:color w:val="000000"/>
          <w:szCs w:val="24"/>
          <w:u w:val="single"/>
          <w:lang w:eastAsia="en-GB"/>
        </w:rPr>
        <w:t>Local Government</w:t>
      </w:r>
      <w:r w:rsidRPr="00877038">
        <w:rPr>
          <w:rFonts w:cs="Arial"/>
          <w:color w:val="000000"/>
          <w:szCs w:val="24"/>
          <w:lang w:eastAsia="en-GB"/>
        </w:rPr>
        <w:t>:</w:t>
      </w:r>
    </w:p>
    <w:p w:rsidR="00877038" w:rsidRPr="00877038" w:rsidRDefault="00877038" w:rsidP="00877038">
      <w:pPr>
        <w:numPr>
          <w:ilvl w:val="0"/>
          <w:numId w:val="16"/>
        </w:numPr>
        <w:autoSpaceDE w:val="0"/>
        <w:autoSpaceDN w:val="0"/>
        <w:adjustRightInd w:val="0"/>
        <w:rPr>
          <w:rFonts w:cs="Arial"/>
          <w:color w:val="000000"/>
          <w:szCs w:val="24"/>
          <w:lang w:eastAsia="en-GB"/>
        </w:rPr>
      </w:pPr>
      <w:r w:rsidRPr="00877038">
        <w:rPr>
          <w:rFonts w:cs="Arial"/>
          <w:bCs/>
          <w:color w:val="000000"/>
          <w:szCs w:val="24"/>
          <w:lang w:eastAsia="en-GB"/>
        </w:rPr>
        <w:t xml:space="preserve">£1bn new grant funding was announced for adult and children’s social care </w:t>
      </w:r>
      <w:r w:rsidRPr="00877038">
        <w:rPr>
          <w:rFonts w:cs="Arial"/>
          <w:color w:val="000000"/>
          <w:szCs w:val="24"/>
          <w:lang w:eastAsia="en-GB"/>
        </w:rPr>
        <w:t xml:space="preserve">(to be distributed using the adult social care relative needs formula). </w:t>
      </w:r>
    </w:p>
    <w:p w:rsidR="00877038" w:rsidRPr="00877038" w:rsidRDefault="00877038" w:rsidP="00877038">
      <w:pPr>
        <w:numPr>
          <w:ilvl w:val="0"/>
          <w:numId w:val="16"/>
        </w:numPr>
        <w:autoSpaceDE w:val="0"/>
        <w:autoSpaceDN w:val="0"/>
        <w:adjustRightInd w:val="0"/>
        <w:rPr>
          <w:rFonts w:cs="Arial"/>
          <w:color w:val="000000"/>
          <w:szCs w:val="24"/>
          <w:lang w:eastAsia="en-GB"/>
        </w:rPr>
      </w:pPr>
      <w:r w:rsidRPr="00877038">
        <w:rPr>
          <w:rFonts w:cs="Arial"/>
          <w:color w:val="000000"/>
          <w:szCs w:val="24"/>
          <w:lang w:eastAsia="en-GB"/>
        </w:rPr>
        <w:t xml:space="preserve">The Government intends to consult on an </w:t>
      </w:r>
      <w:r w:rsidRPr="00877038">
        <w:rPr>
          <w:rFonts w:cs="Arial"/>
          <w:bCs/>
          <w:color w:val="000000"/>
          <w:szCs w:val="24"/>
          <w:lang w:eastAsia="en-GB"/>
        </w:rPr>
        <w:t xml:space="preserve">Adult Social Care Precept of 2% </w:t>
      </w:r>
      <w:r w:rsidRPr="00877038">
        <w:rPr>
          <w:rFonts w:cs="Arial"/>
          <w:color w:val="000000"/>
          <w:szCs w:val="24"/>
          <w:lang w:eastAsia="en-GB"/>
        </w:rPr>
        <w:t xml:space="preserve">as well as </w:t>
      </w:r>
      <w:r w:rsidRPr="00877038">
        <w:rPr>
          <w:rFonts w:cs="Arial"/>
          <w:bCs/>
          <w:color w:val="000000"/>
          <w:szCs w:val="24"/>
          <w:lang w:eastAsia="en-GB"/>
        </w:rPr>
        <w:t xml:space="preserve">main Council Tax referendum limit of 2% </w:t>
      </w:r>
      <w:r w:rsidRPr="00877038">
        <w:rPr>
          <w:rFonts w:cs="Arial"/>
          <w:color w:val="000000"/>
          <w:szCs w:val="24"/>
          <w:lang w:eastAsia="en-GB"/>
        </w:rPr>
        <w:t xml:space="preserve">in 2020-21  </w:t>
      </w:r>
    </w:p>
    <w:p w:rsidR="00877038" w:rsidRPr="00877038" w:rsidRDefault="00877038" w:rsidP="00877038">
      <w:pPr>
        <w:numPr>
          <w:ilvl w:val="0"/>
          <w:numId w:val="16"/>
        </w:numPr>
        <w:autoSpaceDE w:val="0"/>
        <w:autoSpaceDN w:val="0"/>
        <w:adjustRightInd w:val="0"/>
        <w:rPr>
          <w:rFonts w:cs="Arial"/>
          <w:color w:val="000000"/>
          <w:szCs w:val="24"/>
          <w:lang w:eastAsia="en-GB"/>
        </w:rPr>
      </w:pPr>
      <w:r w:rsidRPr="00877038">
        <w:rPr>
          <w:rFonts w:cs="Arial"/>
          <w:bCs/>
          <w:color w:val="000000"/>
          <w:szCs w:val="24"/>
          <w:lang w:eastAsia="en-GB"/>
        </w:rPr>
        <w:lastRenderedPageBreak/>
        <w:t>Public Health Grant will increase by over 3% (estimated at around £100m nationally.</w:t>
      </w:r>
      <w:r w:rsidRPr="00877038">
        <w:rPr>
          <w:rFonts w:cs="Arial"/>
          <w:color w:val="000000"/>
          <w:szCs w:val="24"/>
          <w:lang w:eastAsia="en-GB"/>
        </w:rPr>
        <w:t xml:space="preserve"> </w:t>
      </w:r>
    </w:p>
    <w:p w:rsidR="00877038" w:rsidRPr="00877038" w:rsidRDefault="00877038" w:rsidP="00877038">
      <w:pPr>
        <w:autoSpaceDE w:val="0"/>
        <w:autoSpaceDN w:val="0"/>
        <w:adjustRightInd w:val="0"/>
        <w:rPr>
          <w:rFonts w:cs="Arial"/>
          <w:color w:val="000000"/>
          <w:szCs w:val="24"/>
          <w:lang w:eastAsia="en-GB"/>
        </w:rPr>
      </w:pPr>
    </w:p>
    <w:p w:rsidR="00877038" w:rsidRPr="00877038" w:rsidRDefault="00877038" w:rsidP="00877038">
      <w:pPr>
        <w:autoSpaceDE w:val="0"/>
        <w:autoSpaceDN w:val="0"/>
        <w:adjustRightInd w:val="0"/>
        <w:rPr>
          <w:rFonts w:cs="Arial"/>
          <w:color w:val="000000"/>
          <w:szCs w:val="24"/>
          <w:u w:val="single"/>
          <w:lang w:eastAsia="en-GB"/>
        </w:rPr>
      </w:pPr>
      <w:r w:rsidRPr="00877038">
        <w:rPr>
          <w:rFonts w:cs="Arial"/>
          <w:color w:val="000000"/>
          <w:szCs w:val="24"/>
          <w:u w:val="single"/>
          <w:lang w:eastAsia="en-GB"/>
        </w:rPr>
        <w:t>Department of Health &amp; Social Care</w:t>
      </w:r>
    </w:p>
    <w:p w:rsidR="00877038" w:rsidRPr="00877038" w:rsidRDefault="00877038" w:rsidP="00877038">
      <w:pPr>
        <w:numPr>
          <w:ilvl w:val="0"/>
          <w:numId w:val="17"/>
        </w:numPr>
        <w:autoSpaceDE w:val="0"/>
        <w:autoSpaceDN w:val="0"/>
        <w:adjustRightInd w:val="0"/>
        <w:rPr>
          <w:rFonts w:cs="Arial"/>
          <w:color w:val="000000"/>
          <w:szCs w:val="24"/>
          <w:lang w:eastAsia="en-GB"/>
        </w:rPr>
      </w:pPr>
      <w:r w:rsidRPr="00877038">
        <w:rPr>
          <w:rFonts w:cs="Arial"/>
          <w:color w:val="000000"/>
          <w:szCs w:val="24"/>
          <w:lang w:eastAsia="en-GB"/>
        </w:rPr>
        <w:t xml:space="preserve">The chancellor re-affirmed the NHS five-year settlement, providing an additional £33.9 billion per annum by 2023/24 compared to 2018/19. This equates to a real terms increase of 3.1% in resource budgets. </w:t>
      </w:r>
    </w:p>
    <w:p w:rsidR="00877038" w:rsidRPr="00877038" w:rsidRDefault="00877038" w:rsidP="00877038">
      <w:pPr>
        <w:numPr>
          <w:ilvl w:val="0"/>
          <w:numId w:val="17"/>
        </w:numPr>
        <w:autoSpaceDE w:val="0"/>
        <w:autoSpaceDN w:val="0"/>
        <w:adjustRightInd w:val="0"/>
        <w:rPr>
          <w:rFonts w:cs="Arial"/>
          <w:color w:val="000000"/>
          <w:szCs w:val="24"/>
          <w:lang w:eastAsia="en-GB"/>
        </w:rPr>
      </w:pPr>
      <w:r w:rsidRPr="00877038">
        <w:rPr>
          <w:rFonts w:cs="Arial"/>
          <w:color w:val="000000"/>
          <w:szCs w:val="24"/>
          <w:lang w:eastAsia="en-GB"/>
        </w:rPr>
        <w:t xml:space="preserve">There will be a 3.4 per cent real terms increase in the Health Education England budget, providing £150 million for professional development and an £1,000 central training budget for nurses and midwives </w:t>
      </w:r>
    </w:p>
    <w:p w:rsidR="00877038" w:rsidRPr="00877038" w:rsidRDefault="00877038" w:rsidP="00877038">
      <w:pPr>
        <w:numPr>
          <w:ilvl w:val="0"/>
          <w:numId w:val="17"/>
        </w:numPr>
        <w:autoSpaceDE w:val="0"/>
        <w:autoSpaceDN w:val="0"/>
        <w:adjustRightInd w:val="0"/>
        <w:rPr>
          <w:rFonts w:cs="Arial"/>
          <w:color w:val="000000"/>
          <w:szCs w:val="24"/>
          <w:lang w:eastAsia="en-GB"/>
        </w:rPr>
      </w:pPr>
      <w:r w:rsidRPr="00877038">
        <w:rPr>
          <w:rFonts w:cs="Arial"/>
          <w:color w:val="000000"/>
          <w:szCs w:val="24"/>
          <w:lang w:eastAsia="en-GB"/>
        </w:rPr>
        <w:t xml:space="preserve">There will be a £1bn increase to NHS Capital Spending and £854m of new funding for upgrading of facilities, buildings, and infrastructure in 20 hospitals. </w:t>
      </w:r>
    </w:p>
    <w:p w:rsidR="00877038" w:rsidRPr="00877038" w:rsidRDefault="00877038" w:rsidP="00877038">
      <w:pPr>
        <w:numPr>
          <w:ilvl w:val="0"/>
          <w:numId w:val="17"/>
        </w:numPr>
        <w:autoSpaceDE w:val="0"/>
        <w:autoSpaceDN w:val="0"/>
        <w:adjustRightInd w:val="0"/>
        <w:rPr>
          <w:rFonts w:cs="Arial"/>
          <w:color w:val="000000"/>
          <w:szCs w:val="24"/>
          <w:lang w:eastAsia="en-GB"/>
        </w:rPr>
      </w:pPr>
      <w:r w:rsidRPr="00877038">
        <w:rPr>
          <w:rFonts w:cs="Arial"/>
          <w:color w:val="000000"/>
          <w:szCs w:val="24"/>
          <w:lang w:eastAsia="en-GB"/>
        </w:rPr>
        <w:t xml:space="preserve">£250m announced for investment in AI, of which £78m available in 2020-2021 </w:t>
      </w:r>
    </w:p>
    <w:p w:rsidR="00877038" w:rsidRPr="00877038" w:rsidRDefault="00877038" w:rsidP="00877038">
      <w:pPr>
        <w:autoSpaceDE w:val="0"/>
        <w:autoSpaceDN w:val="0"/>
        <w:adjustRightInd w:val="0"/>
        <w:rPr>
          <w:rFonts w:cs="Arial"/>
          <w:color w:val="000000"/>
          <w:szCs w:val="24"/>
          <w:lang w:eastAsia="en-GB"/>
        </w:rPr>
      </w:pPr>
    </w:p>
    <w:p w:rsidR="00877038" w:rsidRPr="00877038" w:rsidRDefault="00877038" w:rsidP="00877038">
      <w:pPr>
        <w:autoSpaceDE w:val="0"/>
        <w:autoSpaceDN w:val="0"/>
        <w:adjustRightInd w:val="0"/>
        <w:rPr>
          <w:rFonts w:cs="Arial"/>
          <w:color w:val="000000"/>
          <w:szCs w:val="24"/>
          <w:lang w:eastAsia="en-GB"/>
        </w:rPr>
      </w:pPr>
      <w:r w:rsidRPr="00877038">
        <w:rPr>
          <w:rFonts w:cs="Arial"/>
          <w:color w:val="000000"/>
          <w:szCs w:val="24"/>
          <w:lang w:eastAsia="en-GB"/>
        </w:rPr>
        <w:t>In February 2019, Council approved the 2019-20 budget, which included growth of £5.995m for Adult social care (funded by the 2% precept) to fund underlying pressures, offset by MTFS savings of £1.446m and assumed the continuation of the BCF funding for the protection of social care at the 2018-19 (of £5.889m) levels given the commitment to steady state funding.  The HWBB should note that the amount of funding transferring to the Local Authority for 2019-20 is agreed at £6.112m and represents the minimum funding for the protection of social care services.</w:t>
      </w:r>
    </w:p>
    <w:p w:rsidR="00877038" w:rsidRPr="00877038" w:rsidRDefault="00877038" w:rsidP="00877038">
      <w:pPr>
        <w:rPr>
          <w:rFonts w:cs="Arial"/>
          <w:szCs w:val="24"/>
        </w:rPr>
      </w:pPr>
    </w:p>
    <w:p w:rsidR="00877038" w:rsidRPr="00877038" w:rsidRDefault="00877038" w:rsidP="00877038">
      <w:pPr>
        <w:rPr>
          <w:rFonts w:cs="Arial"/>
          <w:szCs w:val="24"/>
        </w:rPr>
      </w:pPr>
      <w:r w:rsidRPr="00877038">
        <w:rPr>
          <w:rFonts w:cs="Arial"/>
          <w:szCs w:val="24"/>
        </w:rPr>
        <w:t>Financial models to support the development of the local and NWL STP are being jointly developed by CCG CFOs.  These plans are expected to assist in contributing to and achieving financial balance for health budgets.  These plans will be presented as they are developed for consideration and approval through the relevant governance processes (CCG &amp; LA), to ensure that any proposals can be delivered within the existing MTFS and financial plans.</w:t>
      </w:r>
    </w:p>
    <w:p w:rsidR="00877038" w:rsidRPr="00877038" w:rsidRDefault="00877038" w:rsidP="00877038">
      <w:pPr>
        <w:rPr>
          <w:rFonts w:cs="Arial"/>
          <w:szCs w:val="24"/>
        </w:rPr>
      </w:pPr>
    </w:p>
    <w:p w:rsidR="00877038" w:rsidRPr="00877038" w:rsidRDefault="00877038" w:rsidP="00877038">
      <w:pPr>
        <w:rPr>
          <w:rFonts w:cs="Arial"/>
          <w:szCs w:val="24"/>
        </w:rPr>
      </w:pPr>
      <w:r w:rsidRPr="00877038">
        <w:t xml:space="preserve">The CCG has an in year deficit control total of £29.4m. To deliver this plan the CCG is expected to achieve £11.35m QIPP savings (3.2% of notified allocation). A recovery plan across all NWL CCG’s has been </w:t>
      </w:r>
      <w:proofErr w:type="gramStart"/>
      <w:r w:rsidRPr="00877038">
        <w:t>instituted  but</w:t>
      </w:r>
      <w:proofErr w:type="gramEnd"/>
      <w:r w:rsidRPr="00877038">
        <w:t xml:space="preserve"> there are still significant headwinds especially in acute services, where the CCG has seen significant pressures in planned care and Non Elective activity</w:t>
      </w:r>
    </w:p>
    <w:p w:rsidR="002A2389" w:rsidRDefault="002A2389">
      <w:pPr>
        <w:rPr>
          <w:color w:val="0000FF"/>
        </w:rPr>
      </w:pPr>
    </w:p>
    <w:p w:rsidR="00A50388" w:rsidRDefault="00A50388">
      <w:pPr>
        <w:rPr>
          <w:color w:val="0000FF"/>
        </w:rPr>
      </w:pPr>
    </w:p>
    <w:p w:rsidR="001417FD" w:rsidRDefault="001417FD">
      <w:pPr>
        <w:rPr>
          <w:b/>
          <w:sz w:val="28"/>
          <w:szCs w:val="28"/>
        </w:rPr>
      </w:pPr>
      <w:r w:rsidRPr="001417FD">
        <w:rPr>
          <w:b/>
          <w:sz w:val="28"/>
          <w:szCs w:val="28"/>
        </w:rPr>
        <w:t xml:space="preserve">Legal Implications/Comments </w:t>
      </w:r>
    </w:p>
    <w:p w:rsidR="005431B1" w:rsidRPr="00493E13" w:rsidRDefault="005431B1" w:rsidP="005431B1">
      <w:pPr>
        <w:rPr>
          <w:rFonts w:cs="Arial"/>
          <w:szCs w:val="24"/>
        </w:rPr>
      </w:pPr>
      <w:r w:rsidRPr="005431B1">
        <w:rPr>
          <w:rFonts w:cs="Arial"/>
          <w:szCs w:val="24"/>
        </w:rPr>
        <w:t xml:space="preserve">The HWWB is required by the relevant government guidance governing the submission of the Better Care Funding application to approve the terms of the </w:t>
      </w:r>
      <w:r w:rsidRPr="00493E13">
        <w:rPr>
          <w:rFonts w:cs="Arial"/>
          <w:szCs w:val="24"/>
        </w:rPr>
        <w:t>submission</w:t>
      </w:r>
      <w:r w:rsidRPr="005431B1">
        <w:rPr>
          <w:rFonts w:cs="Arial"/>
          <w:szCs w:val="24"/>
        </w:rPr>
        <w:t>, and its terms of reference enable the Board to do so if satisfied</w:t>
      </w:r>
      <w:r w:rsidRPr="00493E13">
        <w:rPr>
          <w:rFonts w:cs="Arial"/>
          <w:szCs w:val="24"/>
        </w:rPr>
        <w:t xml:space="preserve">.  </w:t>
      </w:r>
    </w:p>
    <w:p w:rsidR="005431B1" w:rsidRPr="005431B1" w:rsidRDefault="005431B1" w:rsidP="005431B1">
      <w:pPr>
        <w:rPr>
          <w:rFonts w:cs="Arial"/>
          <w:szCs w:val="24"/>
        </w:rPr>
      </w:pPr>
      <w:r w:rsidRPr="005431B1">
        <w:rPr>
          <w:rFonts w:cs="Arial"/>
          <w:szCs w:val="24"/>
        </w:rPr>
        <w:t xml:space="preserve">The terms include </w:t>
      </w:r>
      <w:proofErr w:type="gramStart"/>
      <w:r w:rsidRPr="00493E13">
        <w:rPr>
          <w:rFonts w:cs="Arial"/>
          <w:szCs w:val="24"/>
        </w:rPr>
        <w:t>t</w:t>
      </w:r>
      <w:r w:rsidRPr="005431B1">
        <w:rPr>
          <w:rFonts w:cs="Arial"/>
          <w:szCs w:val="24"/>
        </w:rPr>
        <w:t>o consider</w:t>
      </w:r>
      <w:proofErr w:type="gramEnd"/>
      <w:r w:rsidRPr="005431B1">
        <w:rPr>
          <w:rFonts w:cs="Arial"/>
          <w:szCs w:val="24"/>
        </w:rPr>
        <w:t xml:space="preserve"> how to best use the totality of resources ava</w:t>
      </w:r>
      <w:r w:rsidRPr="00493E13">
        <w:rPr>
          <w:rFonts w:cs="Arial"/>
          <w:szCs w:val="24"/>
        </w:rPr>
        <w:t>ilable for health and wellbeing</w:t>
      </w:r>
      <w:r w:rsidRPr="005431B1">
        <w:rPr>
          <w:rFonts w:cs="Arial"/>
          <w:szCs w:val="24"/>
        </w:rPr>
        <w:t>, and to agree health and wellbeing priorities for Harrow</w:t>
      </w:r>
      <w:r w:rsidRPr="00493E13">
        <w:rPr>
          <w:rFonts w:cs="Arial"/>
          <w:szCs w:val="24"/>
        </w:rPr>
        <w:t>.</w:t>
      </w:r>
    </w:p>
    <w:p w:rsidR="004D5D86" w:rsidRPr="001417FD" w:rsidRDefault="004D5D86">
      <w:pPr>
        <w:rPr>
          <w:b/>
          <w:sz w:val="28"/>
          <w:szCs w:val="28"/>
        </w:rPr>
      </w:pPr>
    </w:p>
    <w:p w:rsidR="001417FD" w:rsidRDefault="001417FD"/>
    <w:p w:rsidR="00C32DAE" w:rsidRDefault="00C32DAE" w:rsidP="00E02B50">
      <w:pPr>
        <w:pStyle w:val="Heading2"/>
      </w:pPr>
      <w:r>
        <w:t>Risk Management Implications</w:t>
      </w:r>
    </w:p>
    <w:p w:rsidR="00C32DAE" w:rsidRDefault="00493E13" w:rsidP="00493E13">
      <w:pPr>
        <w:autoSpaceDE w:val="0"/>
        <w:autoSpaceDN w:val="0"/>
        <w:adjustRightInd w:val="0"/>
        <w:rPr>
          <w:szCs w:val="24"/>
          <w:lang w:eastAsia="en-GB"/>
        </w:rPr>
      </w:pPr>
      <w:r w:rsidRPr="00493E13">
        <w:rPr>
          <w:rFonts w:cs="Arial"/>
          <w:szCs w:val="24"/>
          <w:lang w:eastAsia="en-GB"/>
        </w:rPr>
        <w:t xml:space="preserve">The joint plans </w:t>
      </w:r>
      <w:r>
        <w:rPr>
          <w:rFonts w:cs="Arial"/>
          <w:szCs w:val="24"/>
          <w:lang w:eastAsia="en-GB"/>
        </w:rPr>
        <w:t>will be</w:t>
      </w:r>
      <w:r w:rsidRPr="00493E13">
        <w:rPr>
          <w:rFonts w:cs="Arial"/>
          <w:szCs w:val="24"/>
          <w:lang w:eastAsia="en-GB"/>
        </w:rPr>
        <w:t xml:space="preserve"> developed based on a number of principles that ensure</w:t>
      </w:r>
      <w:r>
        <w:rPr>
          <w:rFonts w:cs="Arial"/>
          <w:szCs w:val="24"/>
          <w:lang w:eastAsia="en-GB"/>
        </w:rPr>
        <w:t xml:space="preserve"> </w:t>
      </w:r>
      <w:r w:rsidRPr="00493E13">
        <w:rPr>
          <w:rFonts w:cs="Arial"/>
          <w:szCs w:val="24"/>
          <w:lang w:eastAsia="en-GB"/>
        </w:rPr>
        <w:t>the risks to both organisations are mitigated as far as possible.</w:t>
      </w:r>
      <w:r>
        <w:rPr>
          <w:rFonts w:cs="Arial"/>
          <w:szCs w:val="24"/>
          <w:lang w:eastAsia="en-GB"/>
        </w:rPr>
        <w:t xml:space="preserve">  </w:t>
      </w:r>
      <w:r w:rsidRPr="00493E13">
        <w:rPr>
          <w:rFonts w:cs="Arial"/>
          <w:szCs w:val="24"/>
          <w:lang w:eastAsia="en-GB"/>
        </w:rPr>
        <w:t xml:space="preserve">Work </w:t>
      </w:r>
      <w:r w:rsidRPr="00493E13">
        <w:rPr>
          <w:rFonts w:cs="Arial"/>
          <w:szCs w:val="24"/>
          <w:lang w:eastAsia="en-GB"/>
        </w:rPr>
        <w:lastRenderedPageBreak/>
        <w:t>continues to</w:t>
      </w:r>
      <w:r>
        <w:rPr>
          <w:rFonts w:cs="Arial"/>
          <w:szCs w:val="24"/>
          <w:lang w:eastAsia="en-GB"/>
        </w:rPr>
        <w:t xml:space="preserve"> </w:t>
      </w:r>
      <w:r w:rsidRPr="00493E13">
        <w:rPr>
          <w:szCs w:val="24"/>
          <w:lang w:eastAsia="en-GB"/>
        </w:rPr>
        <w:t>align the plans around the different planning timescales for both organisations.</w:t>
      </w:r>
    </w:p>
    <w:p w:rsidR="00080819" w:rsidRDefault="00080819" w:rsidP="00DD4251">
      <w:pPr>
        <w:ind w:right="141"/>
        <w:rPr>
          <w:rFonts w:cs="Arial"/>
          <w:szCs w:val="24"/>
          <w:lang w:val="en-US" w:eastAsia="en-GB"/>
        </w:rPr>
      </w:pP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FD31A0" w:rsidRPr="004A2543" w:rsidRDefault="00FD31A0" w:rsidP="00877038">
      <w:r w:rsidRPr="004A2543">
        <w:t xml:space="preserve">Was an Equality Impact Assessment carried out?  </w:t>
      </w:r>
      <w:r w:rsidR="00877038">
        <w:t>No</w:t>
      </w:r>
    </w:p>
    <w:p w:rsidR="00FD31A0" w:rsidRPr="004A2543" w:rsidRDefault="00FD31A0" w:rsidP="00FD31A0"/>
    <w:p w:rsidR="00A50388" w:rsidRDefault="00A50388" w:rsidP="00C32DAE">
      <w:pPr>
        <w:ind w:right="141"/>
        <w:rPr>
          <w:rFonts w:cs="Arial"/>
          <w:szCs w:val="24"/>
          <w:lang w:val="en-US"/>
        </w:rPr>
      </w:pPr>
    </w:p>
    <w:p w:rsidR="00BF6C06" w:rsidRPr="00CD57D8" w:rsidRDefault="005874F0" w:rsidP="00BF6C06">
      <w:pPr>
        <w:pStyle w:val="Heading2"/>
      </w:pPr>
      <w:r>
        <w:t>Council</w:t>
      </w:r>
      <w:r w:rsidR="00D34145">
        <w:t xml:space="preserve"> </w:t>
      </w:r>
      <w:r w:rsidR="00BF6C06" w:rsidRPr="00CD57D8">
        <w:t>Priorities</w:t>
      </w:r>
    </w:p>
    <w:p w:rsidR="00877038" w:rsidRPr="00877038" w:rsidRDefault="00877038" w:rsidP="00877038">
      <w:pPr>
        <w:tabs>
          <w:tab w:val="left" w:pos="748"/>
        </w:tabs>
        <w:suppressAutoHyphens/>
        <w:jc w:val="both"/>
        <w:rPr>
          <w:rFonts w:cs="Arial"/>
          <w:szCs w:val="24"/>
        </w:rPr>
      </w:pPr>
      <w:r w:rsidRPr="00877038">
        <w:rPr>
          <w:rFonts w:cs="Arial"/>
          <w:szCs w:val="24"/>
          <w:lang w:val="en-US"/>
        </w:rPr>
        <w:t xml:space="preserve">The Better Care Fund aims, through joint working between Health, the Council and partner </w:t>
      </w:r>
      <w:proofErr w:type="spellStart"/>
      <w:r w:rsidRPr="00877038">
        <w:rPr>
          <w:rFonts w:cs="Arial"/>
          <w:szCs w:val="24"/>
          <w:lang w:val="en-US"/>
        </w:rPr>
        <w:t>organisations</w:t>
      </w:r>
      <w:proofErr w:type="spellEnd"/>
      <w:r w:rsidRPr="00877038">
        <w:rPr>
          <w:rFonts w:cs="Arial"/>
          <w:szCs w:val="24"/>
          <w:lang w:val="en-US"/>
        </w:rPr>
        <w:t xml:space="preserve">, to make a </w:t>
      </w:r>
      <w:r w:rsidRPr="00877038">
        <w:rPr>
          <w:rFonts w:cs="Arial"/>
          <w:szCs w:val="24"/>
          <w:lang w:val="en"/>
        </w:rPr>
        <w:t xml:space="preserve">difference both for the vulnerable and for </w:t>
      </w:r>
      <w:r w:rsidRPr="00877038">
        <w:rPr>
          <w:rFonts w:cs="Arial"/>
          <w:szCs w:val="24"/>
        </w:rPr>
        <w:t>families</w:t>
      </w:r>
      <w:r>
        <w:rPr>
          <w:rFonts w:cs="Arial"/>
          <w:szCs w:val="24"/>
        </w:rPr>
        <w:t xml:space="preserve"> supporting those most in need</w:t>
      </w:r>
      <w:r w:rsidRPr="00877038">
        <w:rPr>
          <w:rFonts w:cs="Arial"/>
          <w:szCs w:val="24"/>
        </w:rPr>
        <w:t>.</w:t>
      </w:r>
    </w:p>
    <w:p w:rsidR="00BF6C06" w:rsidRDefault="00BF6C06" w:rsidP="00BF6C06">
      <w:pPr>
        <w:keepNext/>
        <w:ind w:right="144"/>
        <w:rPr>
          <w:rFonts w:cs="Arial"/>
          <w:szCs w:val="24"/>
          <w:lang w:val="en-US"/>
        </w:rPr>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C171C8">
            <w:pPr>
              <w:pStyle w:val="Infotext"/>
            </w:pPr>
            <w:r>
              <w:t>Name:</w:t>
            </w:r>
            <w:r w:rsidR="00C171C8">
              <w:t xml:space="preserve">  </w:t>
            </w:r>
            <w:r w:rsidR="009472E4">
              <w:t>Dawn Calvert</w:t>
            </w:r>
          </w:p>
        </w:tc>
        <w:tc>
          <w:tcPr>
            <w:tcW w:w="138" w:type="pct"/>
            <w:tcBorders>
              <w:bottom w:val="single" w:sz="4" w:space="0" w:color="auto"/>
            </w:tcBorders>
          </w:tcPr>
          <w:p w:rsidR="002A2389" w:rsidRDefault="009472E4">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r w:rsidR="009472E4">
              <w:t>16</w:t>
            </w:r>
            <w:r w:rsidR="009472E4" w:rsidRPr="009472E4">
              <w:rPr>
                <w:vertAlign w:val="superscript"/>
              </w:rPr>
              <w:t>th</w:t>
            </w:r>
            <w:r w:rsidR="009472E4">
              <w:t xml:space="preserve"> September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115C45">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5431B1">
              <w:t>Sharon Clarke</w:t>
            </w:r>
          </w:p>
        </w:tc>
        <w:tc>
          <w:tcPr>
            <w:tcW w:w="138" w:type="pct"/>
            <w:tcBorders>
              <w:bottom w:val="single" w:sz="4" w:space="0" w:color="auto"/>
            </w:tcBorders>
          </w:tcPr>
          <w:p w:rsidR="002A2389" w:rsidRDefault="005431B1">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C171C8">
            <w:pPr>
              <w:pStyle w:val="Infotext"/>
            </w:pPr>
            <w:r>
              <w:t xml:space="preserve">Date: </w:t>
            </w:r>
            <w:r w:rsidR="00C171C8">
              <w:t xml:space="preserve"> </w:t>
            </w:r>
            <w:r w:rsidR="005431B1">
              <w:t>16</w:t>
            </w:r>
            <w:r w:rsidR="005431B1" w:rsidRPr="005431B1">
              <w:rPr>
                <w:vertAlign w:val="superscript"/>
              </w:rPr>
              <w:t>th</w:t>
            </w:r>
            <w:r w:rsidR="005431B1">
              <w:t xml:space="preserve"> September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877038">
              <w:t>Paul Hewitt</w:t>
            </w:r>
          </w:p>
        </w:tc>
        <w:tc>
          <w:tcPr>
            <w:tcW w:w="387" w:type="dxa"/>
            <w:tcBorders>
              <w:bottom w:val="single" w:sz="4" w:space="0" w:color="auto"/>
            </w:tcBorders>
          </w:tcPr>
          <w:p w:rsidR="00080819" w:rsidRDefault="00877038"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E31E47">
              <w:t>12.09.19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 NO </w:t>
            </w:r>
          </w:p>
          <w:p w:rsidR="00A51FAE" w:rsidRPr="003D78F6" w:rsidRDefault="00A51FAE" w:rsidP="00115C45">
            <w:pPr>
              <w:pStyle w:val="Infotext"/>
              <w:rPr>
                <w:i/>
                <w:sz w:val="24"/>
                <w:szCs w:val="24"/>
              </w:rPr>
            </w:pPr>
            <w:bookmarkStart w:id="2" w:name="_GoBack"/>
            <w:bookmarkEnd w:id="2"/>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E31E47" w:rsidRPr="00E31E47" w:rsidRDefault="00E31E47" w:rsidP="00E31E47">
      <w:pPr>
        <w:keepNext/>
        <w:outlineLvl w:val="0"/>
        <w:rPr>
          <w:rFonts w:ascii="Arial Black" w:hAnsi="Arial Black" w:cs="Arial"/>
          <w:bCs/>
          <w:sz w:val="32"/>
          <w:szCs w:val="32"/>
        </w:rPr>
      </w:pPr>
      <w:r w:rsidRPr="00E31E47">
        <w:rPr>
          <w:rFonts w:ascii="Arial Black" w:hAnsi="Arial Black" w:cs="Arial"/>
          <w:bCs/>
          <w:sz w:val="32"/>
          <w:szCs w:val="32"/>
        </w:rPr>
        <w:lastRenderedPageBreak/>
        <w:t>Section 4 - Contact Details and Background Papers</w:t>
      </w:r>
    </w:p>
    <w:p w:rsidR="00E31E47" w:rsidRPr="00E31E47" w:rsidRDefault="00E31E47" w:rsidP="00E31E47">
      <w:pPr>
        <w:keepNext/>
        <w:rPr>
          <w:rFonts w:cs="Arial"/>
        </w:rPr>
      </w:pPr>
    </w:p>
    <w:p w:rsidR="00E31E47" w:rsidRPr="00E31E47" w:rsidRDefault="00E31E47" w:rsidP="00E31E47"/>
    <w:p w:rsidR="00E31E47" w:rsidRPr="00E31E47" w:rsidRDefault="00E31E47" w:rsidP="00E31E47">
      <w:pPr>
        <w:rPr>
          <w:rFonts w:cs="Arial"/>
        </w:rPr>
      </w:pPr>
      <w:r w:rsidRPr="00E31E47">
        <w:rPr>
          <w:b/>
          <w:sz w:val="28"/>
        </w:rPr>
        <w:t>Contact:</w:t>
      </w:r>
      <w:r w:rsidRPr="00E31E47">
        <w:rPr>
          <w:sz w:val="28"/>
        </w:rPr>
        <w:t xml:space="preserve">  </w:t>
      </w:r>
      <w:r w:rsidRPr="00E31E47">
        <w:rPr>
          <w:rFonts w:cs="Arial"/>
        </w:rPr>
        <w:t xml:space="preserve">Donna Edwards, Finance Business Partner Peoples Directorate, Tel: 020-8420-9252 </w:t>
      </w:r>
      <w:hyperlink r:id="rId10" w:history="1">
        <w:r w:rsidRPr="00E31E47">
          <w:rPr>
            <w:rFonts w:cs="Arial"/>
            <w:color w:val="0000FF"/>
            <w:u w:val="single"/>
          </w:rPr>
          <w:t>donna.edwards@harrow.gov.uk</w:t>
        </w:r>
      </w:hyperlink>
    </w:p>
    <w:p w:rsidR="00E31E47" w:rsidRPr="00E31E47" w:rsidRDefault="00E31E47" w:rsidP="00E31E47"/>
    <w:p w:rsidR="00E31E47" w:rsidRPr="00E31E47" w:rsidRDefault="00E31E47" w:rsidP="00E31E47"/>
    <w:p w:rsidR="00E31E47" w:rsidRPr="00E31E47" w:rsidRDefault="00E31E47" w:rsidP="00E31E47">
      <w:pPr>
        <w:rPr>
          <w:sz w:val="28"/>
        </w:rPr>
      </w:pPr>
      <w:r w:rsidRPr="00E31E47">
        <w:rPr>
          <w:b/>
          <w:sz w:val="28"/>
        </w:rPr>
        <w:t>Background Papers</w:t>
      </w:r>
      <w:r w:rsidRPr="00E31E47">
        <w:rPr>
          <w:sz w:val="28"/>
        </w:rPr>
        <w:t xml:space="preserve">:  </w:t>
      </w:r>
    </w:p>
    <w:p w:rsidR="00E31E47" w:rsidRPr="00E31E47" w:rsidRDefault="00E31E47" w:rsidP="00E31E47">
      <w:pPr>
        <w:autoSpaceDE w:val="0"/>
        <w:autoSpaceDN w:val="0"/>
        <w:adjustRightInd w:val="0"/>
        <w:rPr>
          <w:rFonts w:cs="Arial"/>
          <w:color w:val="000000"/>
          <w:szCs w:val="24"/>
          <w:lang w:eastAsia="en-GB"/>
        </w:rPr>
      </w:pPr>
    </w:p>
    <w:p w:rsidR="00E31E47" w:rsidRPr="00E31E47" w:rsidRDefault="00E31E47" w:rsidP="00E31E47">
      <w:pPr>
        <w:rPr>
          <w:bCs/>
          <w:sz w:val="20"/>
        </w:rPr>
      </w:pPr>
      <w:proofErr w:type="gramStart"/>
      <w:r w:rsidRPr="00E31E47">
        <w:rPr>
          <w:b/>
          <w:bCs/>
          <w:szCs w:val="24"/>
        </w:rPr>
        <w:t>2019-20 Better Care Fund:</w:t>
      </w:r>
      <w:proofErr w:type="gramEnd"/>
      <w:r w:rsidRPr="00E31E47">
        <w:rPr>
          <w:b/>
          <w:bCs/>
          <w:szCs w:val="24"/>
        </w:rPr>
        <w:t xml:space="preserve"> Policy Framework </w:t>
      </w:r>
      <w:r w:rsidRPr="00E31E47">
        <w:rPr>
          <w:bCs/>
          <w:sz w:val="20"/>
        </w:rPr>
        <w:t>[published 10</w:t>
      </w:r>
      <w:r w:rsidRPr="00E31E47">
        <w:rPr>
          <w:bCs/>
          <w:sz w:val="20"/>
          <w:vertAlign w:val="superscript"/>
        </w:rPr>
        <w:t>th</w:t>
      </w:r>
      <w:r w:rsidRPr="00E31E47">
        <w:rPr>
          <w:bCs/>
          <w:sz w:val="20"/>
        </w:rPr>
        <w:t xml:space="preserve"> April 2019]</w:t>
      </w:r>
    </w:p>
    <w:p w:rsidR="00E31E47" w:rsidRPr="00E31E47" w:rsidRDefault="00115C45" w:rsidP="00E31E47">
      <w:hyperlink r:id="rId11" w:history="1">
        <w:r w:rsidR="00E31E47" w:rsidRPr="00E31E47">
          <w:rPr>
            <w:color w:val="0000FF"/>
            <w:u w:val="single"/>
          </w:rPr>
          <w:t>https://assets.publishing.service.gov.uk/government/uploads/system/uploads/attachment_data/file/821676/Better_Care_Fund_2019-20_Policy_Framework.pdf</w:t>
        </w:r>
      </w:hyperlink>
    </w:p>
    <w:p w:rsidR="00E31E47" w:rsidRPr="00E31E47" w:rsidRDefault="00E31E47" w:rsidP="00E31E47"/>
    <w:p w:rsidR="00E31E47" w:rsidRPr="00E31E47" w:rsidRDefault="00E31E47" w:rsidP="00E31E47">
      <w:pPr>
        <w:autoSpaceDE w:val="0"/>
        <w:autoSpaceDN w:val="0"/>
        <w:adjustRightInd w:val="0"/>
        <w:rPr>
          <w:rFonts w:cs="Arial"/>
          <w:color w:val="000000"/>
          <w:szCs w:val="24"/>
          <w:lang w:eastAsia="en-GB"/>
        </w:rPr>
      </w:pPr>
    </w:p>
    <w:p w:rsidR="00E31E47" w:rsidRPr="00E31E47" w:rsidRDefault="00E31E47" w:rsidP="00E31E47">
      <w:pPr>
        <w:autoSpaceDE w:val="0"/>
        <w:autoSpaceDN w:val="0"/>
        <w:adjustRightInd w:val="0"/>
        <w:rPr>
          <w:rFonts w:cs="Arial"/>
          <w:b/>
          <w:color w:val="000000"/>
          <w:sz w:val="23"/>
          <w:szCs w:val="23"/>
          <w:lang w:eastAsia="en-GB"/>
        </w:rPr>
      </w:pPr>
      <w:r w:rsidRPr="00E31E47">
        <w:rPr>
          <w:rFonts w:cs="Arial"/>
          <w:b/>
          <w:color w:val="000000"/>
          <w:sz w:val="23"/>
          <w:szCs w:val="23"/>
          <w:lang w:eastAsia="en-GB"/>
        </w:rPr>
        <w:t xml:space="preserve">NHS Operational Planning and Contracting Guidance for 2019-20 </w:t>
      </w:r>
      <w:r w:rsidRPr="00E31E47">
        <w:rPr>
          <w:rFonts w:cs="Arial"/>
          <w:color w:val="000000"/>
          <w:sz w:val="20"/>
          <w:lang w:eastAsia="en-GB"/>
        </w:rPr>
        <w:t>[published 10</w:t>
      </w:r>
      <w:r w:rsidRPr="00E31E47">
        <w:rPr>
          <w:rFonts w:cs="Arial"/>
          <w:color w:val="000000"/>
          <w:sz w:val="20"/>
          <w:vertAlign w:val="superscript"/>
          <w:lang w:eastAsia="en-GB"/>
        </w:rPr>
        <w:t>th</w:t>
      </w:r>
      <w:r w:rsidRPr="00E31E47">
        <w:rPr>
          <w:rFonts w:cs="Arial"/>
          <w:color w:val="000000"/>
          <w:sz w:val="20"/>
          <w:lang w:eastAsia="en-GB"/>
        </w:rPr>
        <w:t xml:space="preserve"> January 2019]</w:t>
      </w:r>
    </w:p>
    <w:p w:rsidR="00E31E47" w:rsidRPr="00E31E47" w:rsidRDefault="00115C45" w:rsidP="00E31E47">
      <w:pPr>
        <w:autoSpaceDE w:val="0"/>
        <w:autoSpaceDN w:val="0"/>
        <w:adjustRightInd w:val="0"/>
        <w:rPr>
          <w:rFonts w:cs="Arial"/>
          <w:color w:val="000000"/>
          <w:sz w:val="23"/>
          <w:szCs w:val="23"/>
          <w:lang w:eastAsia="en-GB"/>
        </w:rPr>
      </w:pPr>
      <w:hyperlink r:id="rId12" w:history="1">
        <w:r w:rsidR="00E31E47" w:rsidRPr="00E31E47">
          <w:rPr>
            <w:rFonts w:cs="Arial"/>
            <w:color w:val="0000FF"/>
            <w:sz w:val="23"/>
            <w:szCs w:val="23"/>
            <w:u w:val="single"/>
            <w:lang w:eastAsia="en-GB"/>
          </w:rPr>
          <w:t>https://www.england.nhs.uk/wp-content/uploads/2018/12/nhs-operational-planning-and-contracting-guidance.pdf</w:t>
        </w:r>
      </w:hyperlink>
    </w:p>
    <w:p w:rsidR="00E31E47" w:rsidRPr="00E31E47" w:rsidRDefault="00E31E47" w:rsidP="00E31E47">
      <w:pPr>
        <w:autoSpaceDE w:val="0"/>
        <w:autoSpaceDN w:val="0"/>
        <w:adjustRightInd w:val="0"/>
        <w:rPr>
          <w:rFonts w:cs="Arial"/>
          <w:b/>
          <w:color w:val="000000"/>
          <w:sz w:val="23"/>
          <w:szCs w:val="23"/>
          <w:lang w:eastAsia="en-GB"/>
        </w:rPr>
      </w:pPr>
    </w:p>
    <w:p w:rsidR="00E31E47" w:rsidRPr="00E31E47" w:rsidRDefault="00E31E47" w:rsidP="00E31E47">
      <w:pPr>
        <w:autoSpaceDE w:val="0"/>
        <w:autoSpaceDN w:val="0"/>
        <w:adjustRightInd w:val="0"/>
        <w:rPr>
          <w:rFonts w:cs="Arial"/>
          <w:b/>
          <w:color w:val="000000"/>
          <w:sz w:val="23"/>
          <w:szCs w:val="23"/>
          <w:lang w:eastAsia="en-GB"/>
        </w:rPr>
      </w:pPr>
      <w:r w:rsidRPr="00E31E47">
        <w:rPr>
          <w:rFonts w:cs="Arial"/>
          <w:b/>
          <w:color w:val="000000"/>
          <w:sz w:val="23"/>
          <w:szCs w:val="23"/>
          <w:lang w:eastAsia="en-GB"/>
        </w:rPr>
        <w:t xml:space="preserve">Better Care Fund: Planning Requirements for 2019-20 </w:t>
      </w:r>
      <w:r w:rsidRPr="00E31E47">
        <w:rPr>
          <w:rFonts w:cs="Arial"/>
          <w:color w:val="000000"/>
          <w:sz w:val="18"/>
          <w:szCs w:val="18"/>
          <w:lang w:eastAsia="en-GB"/>
        </w:rPr>
        <w:t>[published 18</w:t>
      </w:r>
      <w:r w:rsidRPr="00E31E47">
        <w:rPr>
          <w:rFonts w:cs="Arial"/>
          <w:color w:val="000000"/>
          <w:sz w:val="18"/>
          <w:szCs w:val="18"/>
          <w:vertAlign w:val="superscript"/>
          <w:lang w:eastAsia="en-GB"/>
        </w:rPr>
        <w:t>th</w:t>
      </w:r>
      <w:r w:rsidRPr="00E31E47">
        <w:rPr>
          <w:rFonts w:cs="Arial"/>
          <w:color w:val="000000"/>
          <w:sz w:val="18"/>
          <w:szCs w:val="18"/>
          <w:lang w:eastAsia="en-GB"/>
        </w:rPr>
        <w:t xml:space="preserve"> July 2019]</w:t>
      </w:r>
    </w:p>
    <w:p w:rsidR="00E31E47" w:rsidRPr="00E31E47" w:rsidRDefault="00115C45" w:rsidP="00E31E47">
      <w:pPr>
        <w:autoSpaceDE w:val="0"/>
        <w:autoSpaceDN w:val="0"/>
        <w:adjustRightInd w:val="0"/>
        <w:rPr>
          <w:rFonts w:cs="Arial"/>
          <w:color w:val="000000"/>
          <w:sz w:val="23"/>
          <w:szCs w:val="23"/>
          <w:lang w:eastAsia="en-GB"/>
        </w:rPr>
      </w:pPr>
      <w:hyperlink r:id="rId13" w:history="1">
        <w:r w:rsidR="00E31E47" w:rsidRPr="00E31E47">
          <w:rPr>
            <w:rFonts w:cs="Arial"/>
            <w:color w:val="0000FF"/>
            <w:sz w:val="23"/>
            <w:szCs w:val="23"/>
            <w:u w:val="single"/>
            <w:lang w:eastAsia="en-GB"/>
          </w:rPr>
          <w:t>https://assets.publishing.service.gov.uk/government/uploads/system/uploads/attachment_data/file/821675/BCF_Planning_Requirements_2019-20_DHSC_1.pdf</w:t>
        </w:r>
      </w:hyperlink>
    </w:p>
    <w:p w:rsidR="00E31E47" w:rsidRPr="00E31E47" w:rsidRDefault="00E31E47" w:rsidP="00E31E47">
      <w:pPr>
        <w:autoSpaceDE w:val="0"/>
        <w:autoSpaceDN w:val="0"/>
        <w:adjustRightInd w:val="0"/>
        <w:rPr>
          <w:rFonts w:cs="Arial"/>
          <w:color w:val="000000"/>
          <w:sz w:val="23"/>
          <w:szCs w:val="23"/>
          <w:lang w:eastAsia="en-GB"/>
        </w:rPr>
      </w:pPr>
    </w:p>
    <w:p w:rsidR="00E31E47" w:rsidRPr="00E31E47" w:rsidRDefault="00E31E47" w:rsidP="00E31E47">
      <w:pPr>
        <w:autoSpaceDE w:val="0"/>
        <w:autoSpaceDN w:val="0"/>
        <w:adjustRightInd w:val="0"/>
        <w:rPr>
          <w:rFonts w:cs="Arial"/>
          <w:b/>
          <w:color w:val="000000"/>
          <w:sz w:val="23"/>
          <w:szCs w:val="23"/>
          <w:lang w:eastAsia="en-GB"/>
        </w:rPr>
      </w:pPr>
      <w:r w:rsidRPr="00E31E47">
        <w:rPr>
          <w:rFonts w:cs="Arial"/>
          <w:b/>
          <w:color w:val="000000"/>
          <w:szCs w:val="24"/>
          <w:lang w:val="en-US" w:eastAsia="en-GB"/>
        </w:rPr>
        <w:t>Minimum allocations for the Better Care Fund from CCGs in 2019-20</w:t>
      </w:r>
    </w:p>
    <w:p w:rsidR="00E31E47" w:rsidRPr="00E31E47" w:rsidRDefault="00115C45" w:rsidP="00E31E47">
      <w:hyperlink r:id="rId14" w:history="1">
        <w:r w:rsidR="00E31E47" w:rsidRPr="00E31E47">
          <w:rPr>
            <w:color w:val="0000FF"/>
            <w:u w:val="single"/>
          </w:rPr>
          <w:t>https://www.england.nhs.uk/publication/minimum-allocations-for-the-better-care-fund-from-ccgs-for-2019-20/</w:t>
        </w:r>
      </w:hyperlink>
    </w:p>
    <w:p w:rsidR="00E31E47" w:rsidRPr="00E31E47" w:rsidRDefault="00E31E47" w:rsidP="00E31E47"/>
    <w:p w:rsidR="002A2389" w:rsidRDefault="002A2389"/>
    <w:sectPr w:rsidR="002A2389" w:rsidSect="00FF71E5">
      <w:footerReference w:type="default" r:id="rId1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38" w:rsidRDefault="00877038">
    <w:pPr>
      <w:pStyle w:val="Footer"/>
      <w:tabs>
        <w:tab w:val="clear" w:pos="4153"/>
        <w:tab w:val="clear" w:pos="8306"/>
      </w:tabs>
      <w:ind w:right="-900"/>
      <w:jc w:val="right"/>
      <w:rPr>
        <w:rFonts w:cs="Arial"/>
        <w:sz w:val="16"/>
      </w:rPr>
    </w:pPr>
    <w:r w:rsidRPr="007F7B2F">
      <w:rPr>
        <w:rFonts w:cs="Arial"/>
        <w:sz w:val="16"/>
      </w:rPr>
      <w:fldChar w:fldCharType="begin"/>
    </w:r>
    <w:r w:rsidRPr="007F7B2F">
      <w:rPr>
        <w:rFonts w:cs="Arial"/>
        <w:sz w:val="16"/>
      </w:rPr>
      <w:instrText xml:space="preserve"> FILENAME \p </w:instrText>
    </w:r>
    <w:r w:rsidRPr="007F7B2F">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51735"/>
    <w:multiLevelType w:val="hybridMultilevel"/>
    <w:tmpl w:val="21A4D5A6"/>
    <w:lvl w:ilvl="0" w:tplc="3232EFBC">
      <w:start w:val="3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0474E5"/>
    <w:multiLevelType w:val="hybridMultilevel"/>
    <w:tmpl w:val="977A999E"/>
    <w:lvl w:ilvl="0" w:tplc="3232EFBC">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AD0031"/>
    <w:multiLevelType w:val="hybridMultilevel"/>
    <w:tmpl w:val="54E8B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DB0D98"/>
    <w:multiLevelType w:val="hybridMultilevel"/>
    <w:tmpl w:val="BCE2B184"/>
    <w:lvl w:ilvl="0" w:tplc="3232EFBC">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 w:numId="9">
    <w:abstractNumId w:val="12"/>
  </w:num>
  <w:num w:numId="10">
    <w:abstractNumId w:val="16"/>
  </w:num>
  <w:num w:numId="11">
    <w:abstractNumId w:val="10"/>
  </w:num>
  <w:num w:numId="12">
    <w:abstractNumId w:val="2"/>
  </w:num>
  <w:num w:numId="13">
    <w:abstractNumId w:val="4"/>
  </w:num>
  <w:num w:numId="14">
    <w:abstractNumId w:val="11"/>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F65C0"/>
    <w:rsid w:val="00115C45"/>
    <w:rsid w:val="00122491"/>
    <w:rsid w:val="001417FD"/>
    <w:rsid w:val="001939BA"/>
    <w:rsid w:val="001C5225"/>
    <w:rsid w:val="001E0219"/>
    <w:rsid w:val="001F341E"/>
    <w:rsid w:val="00231A1D"/>
    <w:rsid w:val="00296F20"/>
    <w:rsid w:val="002A2389"/>
    <w:rsid w:val="002C08E2"/>
    <w:rsid w:val="002C1794"/>
    <w:rsid w:val="002E77E3"/>
    <w:rsid w:val="00303534"/>
    <w:rsid w:val="003115B3"/>
    <w:rsid w:val="003B6B15"/>
    <w:rsid w:val="003C0B16"/>
    <w:rsid w:val="004213D7"/>
    <w:rsid w:val="0042394B"/>
    <w:rsid w:val="00473B08"/>
    <w:rsid w:val="00474B5F"/>
    <w:rsid w:val="00493E13"/>
    <w:rsid w:val="004B2C9D"/>
    <w:rsid w:val="004C2D29"/>
    <w:rsid w:val="004D5D86"/>
    <w:rsid w:val="004E667D"/>
    <w:rsid w:val="004E6AF9"/>
    <w:rsid w:val="00513FB9"/>
    <w:rsid w:val="0052030D"/>
    <w:rsid w:val="005431B1"/>
    <w:rsid w:val="005861B4"/>
    <w:rsid w:val="005874F0"/>
    <w:rsid w:val="005D4ADF"/>
    <w:rsid w:val="005E384D"/>
    <w:rsid w:val="005F2181"/>
    <w:rsid w:val="005F724B"/>
    <w:rsid w:val="0063072B"/>
    <w:rsid w:val="006465F6"/>
    <w:rsid w:val="00662891"/>
    <w:rsid w:val="006671DF"/>
    <w:rsid w:val="00675FCB"/>
    <w:rsid w:val="006C3914"/>
    <w:rsid w:val="006D2C51"/>
    <w:rsid w:val="0074184E"/>
    <w:rsid w:val="00755F8D"/>
    <w:rsid w:val="00796503"/>
    <w:rsid w:val="007D56C8"/>
    <w:rsid w:val="007E7303"/>
    <w:rsid w:val="007F7B2F"/>
    <w:rsid w:val="00803162"/>
    <w:rsid w:val="008136B1"/>
    <w:rsid w:val="00877038"/>
    <w:rsid w:val="008D1750"/>
    <w:rsid w:val="008E4913"/>
    <w:rsid w:val="008F4594"/>
    <w:rsid w:val="00900464"/>
    <w:rsid w:val="0090100E"/>
    <w:rsid w:val="0093767E"/>
    <w:rsid w:val="009472E4"/>
    <w:rsid w:val="00972A02"/>
    <w:rsid w:val="0099517C"/>
    <w:rsid w:val="009B2ECD"/>
    <w:rsid w:val="009B7914"/>
    <w:rsid w:val="00A40B87"/>
    <w:rsid w:val="00A50388"/>
    <w:rsid w:val="00A51FAE"/>
    <w:rsid w:val="00A566E7"/>
    <w:rsid w:val="00A613C1"/>
    <w:rsid w:val="00A62FD7"/>
    <w:rsid w:val="00A650A1"/>
    <w:rsid w:val="00A76A21"/>
    <w:rsid w:val="00A940D3"/>
    <w:rsid w:val="00A96FCA"/>
    <w:rsid w:val="00AA4BE8"/>
    <w:rsid w:val="00AC7BA9"/>
    <w:rsid w:val="00B0425E"/>
    <w:rsid w:val="00B92AA6"/>
    <w:rsid w:val="00B9498A"/>
    <w:rsid w:val="00BD684A"/>
    <w:rsid w:val="00BE1C78"/>
    <w:rsid w:val="00BF6C06"/>
    <w:rsid w:val="00C171C8"/>
    <w:rsid w:val="00C32DAE"/>
    <w:rsid w:val="00C40E24"/>
    <w:rsid w:val="00C43816"/>
    <w:rsid w:val="00C82CEC"/>
    <w:rsid w:val="00C96EF5"/>
    <w:rsid w:val="00D1109B"/>
    <w:rsid w:val="00D32B51"/>
    <w:rsid w:val="00D34145"/>
    <w:rsid w:val="00D34668"/>
    <w:rsid w:val="00D3740E"/>
    <w:rsid w:val="00D82F57"/>
    <w:rsid w:val="00D841A5"/>
    <w:rsid w:val="00D914D2"/>
    <w:rsid w:val="00DA25DB"/>
    <w:rsid w:val="00DB39E5"/>
    <w:rsid w:val="00DD4251"/>
    <w:rsid w:val="00DE21F9"/>
    <w:rsid w:val="00DF48BB"/>
    <w:rsid w:val="00E02B50"/>
    <w:rsid w:val="00E03F11"/>
    <w:rsid w:val="00E06DC8"/>
    <w:rsid w:val="00E220B5"/>
    <w:rsid w:val="00E31E47"/>
    <w:rsid w:val="00EA6242"/>
    <w:rsid w:val="00EE0325"/>
    <w:rsid w:val="00F37C8A"/>
    <w:rsid w:val="00F4213B"/>
    <w:rsid w:val="00F66DED"/>
    <w:rsid w:val="00F849ED"/>
    <w:rsid w:val="00F92398"/>
    <w:rsid w:val="00FC531A"/>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CharCharCharCharCharCharCharChar0">
    <w:name w:val="Char Char Char Char Char Char Char Char"/>
    <w:basedOn w:val="Normal"/>
    <w:rsid w:val="00877038"/>
    <w:pPr>
      <w:spacing w:after="160" w:line="240" w:lineRule="exact"/>
    </w:pPr>
    <w:rPr>
      <w:rFonts w:ascii="Tahoma" w:hAnsi="Tahoma"/>
      <w:sz w:val="20"/>
      <w:lang w:eastAsia="en-GB"/>
    </w:rPr>
  </w:style>
  <w:style w:type="character" w:styleId="FollowedHyperlink">
    <w:name w:val="FollowedHyperlink"/>
    <w:basedOn w:val="DefaultParagraphFont"/>
    <w:rsid w:val="005203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CharCharCharCharCharCharCharChar0">
    <w:name w:val="Char Char Char Char Char Char Char Char"/>
    <w:basedOn w:val="Normal"/>
    <w:rsid w:val="00877038"/>
    <w:pPr>
      <w:spacing w:after="160" w:line="240" w:lineRule="exact"/>
    </w:pPr>
    <w:rPr>
      <w:rFonts w:ascii="Tahoma" w:hAnsi="Tahoma"/>
      <w:sz w:val="20"/>
      <w:lang w:eastAsia="en-GB"/>
    </w:rPr>
  </w:style>
  <w:style w:type="character" w:styleId="FollowedHyperlink">
    <w:name w:val="FollowedHyperlink"/>
    <w:basedOn w:val="DefaultParagraphFont"/>
    <w:rsid w:val="00520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821675/BCF_Planning_Requirements_2019-20_DHSC_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ngland.nhs.uk/wp-content/uploads/2018/12/nhs-operational-planning-and-contracting-guida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21676/Better_Care_Fund_2019-20_Policy_Framewor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nna.edwards@harrow.gov.uk" TargetMode="External"/><Relationship Id="rId4" Type="http://schemas.openxmlformats.org/officeDocument/2006/relationships/settings" Target="settings.xml"/><Relationship Id="rId9" Type="http://schemas.openxmlformats.org/officeDocument/2006/relationships/hyperlink" Target="mailto:england.bettercaresupport@nhs.net" TargetMode="External"/><Relationship Id="rId14" Type="http://schemas.openxmlformats.org/officeDocument/2006/relationships/hyperlink" Target="https://www.england.nhs.uk/publication/minimum-allocations-for-the-better-care-fund-from-ccgs-for-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2055</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14620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6</cp:revision>
  <cp:lastPrinted>2007-07-12T09:53:00Z</cp:lastPrinted>
  <dcterms:created xsi:type="dcterms:W3CDTF">2019-09-17T08:18:00Z</dcterms:created>
  <dcterms:modified xsi:type="dcterms:W3CDTF">2019-09-17T12:49:00Z</dcterms:modified>
</cp:coreProperties>
</file>